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E38F" w14:textId="77777777" w:rsidR="00D53AC1" w:rsidRDefault="00D53AC1" w:rsidP="00D53AC1">
      <w:pPr>
        <w:ind w:right="742"/>
        <w:jc w:val="center"/>
        <w:rPr>
          <w:rFonts w:ascii="Book Antiqua" w:eastAsia="Calibri" w:hAnsi="Book Antiqua"/>
          <w:b/>
          <w:sz w:val="28"/>
          <w:szCs w:val="28"/>
          <w:lang w:val="sv-SE"/>
        </w:rPr>
      </w:pPr>
      <w:bookmarkStart w:id="0" w:name="_Hlk78354194"/>
      <w:r w:rsidRPr="00D53AC1">
        <w:rPr>
          <w:rFonts w:ascii="Book Antiqua" w:eastAsia="Calibri" w:hAnsi="Book Antiqua"/>
          <w:b/>
          <w:sz w:val="28"/>
          <w:szCs w:val="28"/>
          <w:lang w:val="sv-SE"/>
        </w:rPr>
        <w:t xml:space="preserve">Peran dan Atribut Kunci Champion dalam Keberhasilan Implementasi Kontrasepsi Pascapersalinan </w:t>
      </w:r>
    </w:p>
    <w:p w14:paraId="33393E17" w14:textId="2D18A072" w:rsidR="00D53AC1" w:rsidRPr="00D53AC1" w:rsidRDefault="00D53AC1" w:rsidP="00D53AC1">
      <w:pPr>
        <w:ind w:right="742"/>
        <w:jc w:val="center"/>
        <w:rPr>
          <w:rFonts w:ascii="Book Antiqua" w:eastAsia="Calibri" w:hAnsi="Book Antiqua"/>
          <w:b/>
          <w:sz w:val="28"/>
          <w:szCs w:val="28"/>
          <w:lang w:val="sv-SE"/>
        </w:rPr>
      </w:pPr>
      <w:r w:rsidRPr="00D53AC1">
        <w:rPr>
          <w:rFonts w:ascii="Book Antiqua" w:eastAsia="Calibri" w:hAnsi="Book Antiqua"/>
          <w:b/>
          <w:sz w:val="28"/>
          <w:szCs w:val="28"/>
          <w:lang w:val="sv-SE"/>
        </w:rPr>
        <w:t>di Layanan Kesehatan</w:t>
      </w:r>
    </w:p>
    <w:p w14:paraId="6A5E36F6" w14:textId="77777777" w:rsidR="00605BDF" w:rsidRPr="007068FA" w:rsidRDefault="00605BDF" w:rsidP="00605BDF">
      <w:pPr>
        <w:jc w:val="center"/>
        <w:rPr>
          <w:rFonts w:ascii="Book Antiqua" w:hAnsi="Book Antiqua"/>
          <w:b/>
          <w:sz w:val="24"/>
          <w:szCs w:val="24"/>
        </w:rPr>
      </w:pPr>
    </w:p>
    <w:bookmarkEnd w:id="0"/>
    <w:p w14:paraId="5D4A2A2A" w14:textId="08A12AFF" w:rsidR="007068FA" w:rsidRPr="007068FA" w:rsidRDefault="00E6274B" w:rsidP="007068FA">
      <w:pPr>
        <w:pStyle w:val="TidakAdaSpasi"/>
        <w:contextualSpacing/>
        <w:jc w:val="center"/>
        <w:rPr>
          <w:rFonts w:ascii="Book Antiqua" w:hAnsi="Book Antiqua"/>
          <w:sz w:val="24"/>
          <w:szCs w:val="24"/>
        </w:rPr>
      </w:pPr>
      <w:r>
        <w:rPr>
          <w:rFonts w:ascii="Book Antiqua" w:hAnsi="Book Antiqua"/>
          <w:sz w:val="24"/>
          <w:szCs w:val="24"/>
        </w:rPr>
        <w:t>xxx</w:t>
      </w:r>
    </w:p>
    <w:p w14:paraId="1A2DD17D" w14:textId="08F8F07B" w:rsidR="004D3838" w:rsidRPr="009E5DBF" w:rsidRDefault="004D3838" w:rsidP="0088233C">
      <w:pPr>
        <w:jc w:val="center"/>
        <w:rPr>
          <w:rFonts w:ascii="Book Antiqua" w:hAnsi="Book Antiqua"/>
          <w:b/>
          <w:bCs/>
          <w:i/>
          <w:iCs/>
          <w:sz w:val="24"/>
          <w:szCs w:val="24"/>
        </w:rPr>
      </w:pPr>
    </w:p>
    <w:tbl>
      <w:tblPr>
        <w:tblStyle w:val="KisiTabel"/>
        <w:tblW w:w="9127" w:type="dxa"/>
        <w:jc w:val="center"/>
        <w:tblLook w:val="04A0" w:firstRow="1" w:lastRow="0" w:firstColumn="1" w:lastColumn="0" w:noHBand="0" w:noVBand="1"/>
      </w:tblPr>
      <w:tblGrid>
        <w:gridCol w:w="282"/>
        <w:gridCol w:w="2505"/>
        <w:gridCol w:w="282"/>
        <w:gridCol w:w="282"/>
        <w:gridCol w:w="5776"/>
      </w:tblGrid>
      <w:tr w:rsidR="00963264" w:rsidRPr="009E5DBF" w14:paraId="513CAD48" w14:textId="77777777" w:rsidTr="00963264">
        <w:trPr>
          <w:jc w:val="center"/>
        </w:trPr>
        <w:tc>
          <w:tcPr>
            <w:tcW w:w="2787" w:type="dxa"/>
            <w:gridSpan w:val="2"/>
            <w:tcBorders>
              <w:top w:val="double" w:sz="4" w:space="0" w:color="auto"/>
              <w:left w:val="nil"/>
              <w:bottom w:val="single" w:sz="4" w:space="0" w:color="auto"/>
              <w:right w:val="nil"/>
            </w:tcBorders>
          </w:tcPr>
          <w:p w14:paraId="22234552" w14:textId="669319B2" w:rsidR="00963264" w:rsidRPr="009E5DBF" w:rsidRDefault="00F34D21" w:rsidP="007A0A86">
            <w:pPr>
              <w:jc w:val="both"/>
              <w:rPr>
                <w:rFonts w:ascii="Book Antiqua" w:hAnsi="Book Antiqua"/>
                <w:b/>
                <w:sz w:val="24"/>
                <w:szCs w:val="24"/>
              </w:rPr>
            </w:pPr>
            <w:r w:rsidRPr="009E5DBF">
              <w:rPr>
                <w:rFonts w:ascii="Book Antiqua" w:hAnsi="Book Antiqua"/>
                <w:b/>
                <w:sz w:val="24"/>
                <w:szCs w:val="24"/>
              </w:rPr>
              <w:t>Info Artikel</w:t>
            </w:r>
          </w:p>
        </w:tc>
        <w:tc>
          <w:tcPr>
            <w:tcW w:w="282" w:type="dxa"/>
            <w:tcBorders>
              <w:top w:val="double" w:sz="4" w:space="0" w:color="auto"/>
              <w:left w:val="nil"/>
              <w:bottom w:val="nil"/>
              <w:right w:val="nil"/>
            </w:tcBorders>
          </w:tcPr>
          <w:p w14:paraId="05ED7A0C" w14:textId="77777777" w:rsidR="00963264" w:rsidRPr="009E5DBF" w:rsidRDefault="00963264" w:rsidP="007A0A86">
            <w:pPr>
              <w:jc w:val="center"/>
              <w:rPr>
                <w:rFonts w:ascii="Book Antiqua" w:hAnsi="Book Antiqua"/>
                <w:sz w:val="24"/>
                <w:szCs w:val="24"/>
              </w:rPr>
            </w:pPr>
          </w:p>
        </w:tc>
        <w:tc>
          <w:tcPr>
            <w:tcW w:w="282" w:type="dxa"/>
            <w:tcBorders>
              <w:top w:val="double" w:sz="4" w:space="0" w:color="auto"/>
              <w:left w:val="nil"/>
              <w:bottom w:val="nil"/>
              <w:right w:val="nil"/>
            </w:tcBorders>
          </w:tcPr>
          <w:p w14:paraId="3E270EF1" w14:textId="264A2801" w:rsidR="00963264" w:rsidRPr="009E5DBF" w:rsidRDefault="00963264" w:rsidP="007A0A86">
            <w:pPr>
              <w:jc w:val="center"/>
              <w:rPr>
                <w:rFonts w:ascii="Book Antiqua" w:hAnsi="Book Antiqua"/>
                <w:sz w:val="24"/>
                <w:szCs w:val="24"/>
              </w:rPr>
            </w:pPr>
          </w:p>
        </w:tc>
        <w:tc>
          <w:tcPr>
            <w:tcW w:w="5776" w:type="dxa"/>
            <w:tcBorders>
              <w:top w:val="double" w:sz="4" w:space="0" w:color="auto"/>
              <w:left w:val="nil"/>
              <w:bottom w:val="single" w:sz="4" w:space="0" w:color="auto"/>
              <w:right w:val="nil"/>
            </w:tcBorders>
          </w:tcPr>
          <w:p w14:paraId="7B74F735" w14:textId="14A138BF" w:rsidR="00963264" w:rsidRPr="009E5DBF" w:rsidRDefault="003301D1" w:rsidP="007A0A86">
            <w:pPr>
              <w:rPr>
                <w:rFonts w:ascii="Book Antiqua" w:hAnsi="Book Antiqua"/>
                <w:sz w:val="24"/>
                <w:szCs w:val="24"/>
              </w:rPr>
            </w:pPr>
            <w:r w:rsidRPr="009E5DBF">
              <w:rPr>
                <w:rFonts w:ascii="Book Antiqua" w:hAnsi="Book Antiqua"/>
                <w:b/>
                <w:bCs/>
                <w:iCs/>
                <w:sz w:val="24"/>
                <w:szCs w:val="24"/>
              </w:rPr>
              <w:t>ABSTRAK</w:t>
            </w:r>
            <w:r w:rsidR="00963264" w:rsidRPr="009E5DBF">
              <w:rPr>
                <w:rFonts w:ascii="Book Antiqua" w:hAnsi="Book Antiqua"/>
                <w:b/>
                <w:bCs/>
                <w:iCs/>
                <w:sz w:val="24"/>
                <w:szCs w:val="24"/>
              </w:rPr>
              <w:t xml:space="preserve"> </w:t>
            </w:r>
          </w:p>
        </w:tc>
      </w:tr>
      <w:tr w:rsidR="00963264" w:rsidRPr="009E5DBF" w14:paraId="66C69584" w14:textId="77777777" w:rsidTr="00963264">
        <w:trPr>
          <w:trHeight w:val="1268"/>
          <w:jc w:val="center"/>
        </w:trPr>
        <w:tc>
          <w:tcPr>
            <w:tcW w:w="2787" w:type="dxa"/>
            <w:gridSpan w:val="2"/>
            <w:tcBorders>
              <w:top w:val="single" w:sz="4" w:space="0" w:color="auto"/>
              <w:left w:val="nil"/>
              <w:bottom w:val="single" w:sz="4" w:space="0" w:color="auto"/>
              <w:right w:val="nil"/>
            </w:tcBorders>
          </w:tcPr>
          <w:p w14:paraId="1FD074E8" w14:textId="692C0EEE" w:rsidR="00963264" w:rsidRPr="009E5DBF" w:rsidRDefault="00F34D21" w:rsidP="007A0A86">
            <w:pPr>
              <w:jc w:val="both"/>
              <w:rPr>
                <w:rFonts w:ascii="Book Antiqua" w:hAnsi="Book Antiqua"/>
                <w:b/>
                <w:i/>
                <w:sz w:val="24"/>
                <w:szCs w:val="24"/>
              </w:rPr>
            </w:pPr>
            <w:r w:rsidRPr="009E5DBF">
              <w:rPr>
                <w:rFonts w:ascii="Book Antiqua" w:hAnsi="Book Antiqua"/>
                <w:b/>
                <w:i/>
                <w:sz w:val="24"/>
                <w:szCs w:val="24"/>
              </w:rPr>
              <w:t>Riwayat Artikel (</w:t>
            </w:r>
            <w:proofErr w:type="spellStart"/>
            <w:r w:rsidRPr="009E5DBF">
              <w:rPr>
                <w:rFonts w:ascii="Book Antiqua" w:hAnsi="Book Antiqua"/>
                <w:b/>
                <w:i/>
                <w:sz w:val="24"/>
                <w:szCs w:val="24"/>
              </w:rPr>
              <w:t>diisi</w:t>
            </w:r>
            <w:proofErr w:type="spellEnd"/>
            <w:r w:rsidRPr="009E5DBF">
              <w:rPr>
                <w:rFonts w:ascii="Book Antiqua" w:hAnsi="Book Antiqua"/>
                <w:b/>
                <w:i/>
                <w:sz w:val="24"/>
                <w:szCs w:val="24"/>
              </w:rPr>
              <w:t xml:space="preserve"> oleh Editor)</w:t>
            </w:r>
            <w:r w:rsidR="00963264" w:rsidRPr="009E5DBF">
              <w:rPr>
                <w:rFonts w:ascii="Book Antiqua" w:hAnsi="Book Antiqua"/>
                <w:b/>
                <w:i/>
                <w:sz w:val="24"/>
                <w:szCs w:val="24"/>
              </w:rPr>
              <w:t>:</w:t>
            </w:r>
          </w:p>
          <w:p w14:paraId="1B21A247" w14:textId="480F53F6" w:rsidR="00963264" w:rsidRPr="009E5DBF" w:rsidRDefault="00F34D21" w:rsidP="007A0A86">
            <w:pPr>
              <w:jc w:val="both"/>
              <w:rPr>
                <w:rFonts w:ascii="Book Antiqua" w:hAnsi="Book Antiqua"/>
                <w:sz w:val="24"/>
                <w:szCs w:val="24"/>
              </w:rPr>
            </w:pPr>
            <w:proofErr w:type="spellStart"/>
            <w:r w:rsidRPr="009E5DBF">
              <w:rPr>
                <w:rFonts w:ascii="Book Antiqua" w:hAnsi="Book Antiqua"/>
                <w:sz w:val="24"/>
                <w:szCs w:val="24"/>
              </w:rPr>
              <w:t>Submisi</w:t>
            </w:r>
            <w:proofErr w:type="spellEnd"/>
            <w:r w:rsidRPr="009E5DBF">
              <w:rPr>
                <w:rFonts w:ascii="Book Antiqua" w:hAnsi="Book Antiqua"/>
                <w:sz w:val="24"/>
                <w:szCs w:val="24"/>
              </w:rPr>
              <w:t>:</w:t>
            </w:r>
            <w:r w:rsidR="00963264" w:rsidRPr="009E5DBF">
              <w:rPr>
                <w:rFonts w:ascii="Book Antiqua" w:hAnsi="Book Antiqua"/>
                <w:sz w:val="24"/>
                <w:szCs w:val="24"/>
              </w:rPr>
              <w:t xml:space="preserve"> month dd, </w:t>
            </w:r>
            <w:proofErr w:type="spellStart"/>
            <w:r w:rsidR="00963264" w:rsidRPr="009E5DBF">
              <w:rPr>
                <w:rFonts w:ascii="Book Antiqua" w:hAnsi="Book Antiqua"/>
                <w:sz w:val="24"/>
                <w:szCs w:val="24"/>
              </w:rPr>
              <w:t>yyyy</w:t>
            </w:r>
            <w:proofErr w:type="spellEnd"/>
          </w:p>
          <w:p w14:paraId="745B47E5" w14:textId="724BF43D" w:rsidR="00963264" w:rsidRPr="009E5DBF" w:rsidRDefault="00F34D21" w:rsidP="007A0A86">
            <w:pPr>
              <w:jc w:val="both"/>
              <w:rPr>
                <w:rFonts w:ascii="Book Antiqua" w:hAnsi="Book Antiqua"/>
                <w:sz w:val="24"/>
                <w:szCs w:val="24"/>
              </w:rPr>
            </w:pPr>
            <w:proofErr w:type="spellStart"/>
            <w:r w:rsidRPr="009E5DBF">
              <w:rPr>
                <w:rFonts w:ascii="Book Antiqua" w:hAnsi="Book Antiqua"/>
                <w:sz w:val="24"/>
                <w:szCs w:val="24"/>
              </w:rPr>
              <w:t>Revisi</w:t>
            </w:r>
            <w:proofErr w:type="spellEnd"/>
            <w:r w:rsidRPr="009E5DBF">
              <w:rPr>
                <w:rFonts w:ascii="Book Antiqua" w:hAnsi="Book Antiqua"/>
                <w:sz w:val="24"/>
                <w:szCs w:val="24"/>
              </w:rPr>
              <w:t>:</w:t>
            </w:r>
            <w:r w:rsidR="00963264" w:rsidRPr="009E5DBF">
              <w:rPr>
                <w:rFonts w:ascii="Book Antiqua" w:hAnsi="Book Antiqua"/>
                <w:sz w:val="24"/>
                <w:szCs w:val="24"/>
              </w:rPr>
              <w:t xml:space="preserve"> month dd, </w:t>
            </w:r>
            <w:proofErr w:type="spellStart"/>
            <w:r w:rsidR="00963264" w:rsidRPr="009E5DBF">
              <w:rPr>
                <w:rFonts w:ascii="Book Antiqua" w:hAnsi="Book Antiqua"/>
                <w:sz w:val="24"/>
                <w:szCs w:val="24"/>
              </w:rPr>
              <w:t>yyyy</w:t>
            </w:r>
            <w:proofErr w:type="spellEnd"/>
          </w:p>
          <w:p w14:paraId="6CE20EAE" w14:textId="7F6961DD" w:rsidR="00963264" w:rsidRPr="009E5DBF" w:rsidRDefault="00F34D21" w:rsidP="007A0A86">
            <w:pPr>
              <w:jc w:val="both"/>
              <w:rPr>
                <w:rFonts w:ascii="Book Antiqua" w:hAnsi="Book Antiqua"/>
                <w:sz w:val="24"/>
                <w:szCs w:val="24"/>
              </w:rPr>
            </w:pPr>
            <w:proofErr w:type="spellStart"/>
            <w:r w:rsidRPr="009E5DBF">
              <w:rPr>
                <w:rFonts w:ascii="Book Antiqua" w:hAnsi="Book Antiqua"/>
                <w:sz w:val="24"/>
                <w:szCs w:val="24"/>
              </w:rPr>
              <w:t>Penerimaan</w:t>
            </w:r>
            <w:proofErr w:type="spellEnd"/>
            <w:r w:rsidRPr="009E5DBF">
              <w:rPr>
                <w:rFonts w:ascii="Book Antiqua" w:hAnsi="Book Antiqua"/>
                <w:sz w:val="24"/>
                <w:szCs w:val="24"/>
              </w:rPr>
              <w:t>:</w:t>
            </w:r>
            <w:r w:rsidR="00963264" w:rsidRPr="009E5DBF">
              <w:rPr>
                <w:rFonts w:ascii="Book Antiqua" w:hAnsi="Book Antiqua"/>
                <w:sz w:val="24"/>
                <w:szCs w:val="24"/>
              </w:rPr>
              <w:t xml:space="preserve"> month dd, </w:t>
            </w:r>
            <w:proofErr w:type="spellStart"/>
            <w:r w:rsidR="00963264" w:rsidRPr="009E5DBF">
              <w:rPr>
                <w:rFonts w:ascii="Book Antiqua" w:hAnsi="Book Antiqua"/>
                <w:sz w:val="24"/>
                <w:szCs w:val="24"/>
              </w:rPr>
              <w:t>yyyy</w:t>
            </w:r>
            <w:proofErr w:type="spellEnd"/>
          </w:p>
          <w:p w14:paraId="375A1808" w14:textId="77777777" w:rsidR="00963264" w:rsidRPr="009E5DBF" w:rsidRDefault="00963264" w:rsidP="007A0A86">
            <w:pPr>
              <w:jc w:val="both"/>
              <w:rPr>
                <w:rFonts w:ascii="Book Antiqua" w:hAnsi="Book Antiqua"/>
                <w:sz w:val="24"/>
                <w:szCs w:val="24"/>
              </w:rPr>
            </w:pPr>
          </w:p>
        </w:tc>
        <w:tc>
          <w:tcPr>
            <w:tcW w:w="282" w:type="dxa"/>
            <w:tcBorders>
              <w:top w:val="nil"/>
              <w:left w:val="nil"/>
              <w:bottom w:val="nil"/>
              <w:right w:val="nil"/>
            </w:tcBorders>
          </w:tcPr>
          <w:p w14:paraId="17252CAB" w14:textId="77777777" w:rsidR="00963264" w:rsidRPr="009E5DBF" w:rsidRDefault="00963264" w:rsidP="007A0A86">
            <w:pPr>
              <w:jc w:val="both"/>
              <w:rPr>
                <w:rFonts w:ascii="Book Antiqua" w:hAnsi="Book Antiqua"/>
                <w:sz w:val="24"/>
                <w:szCs w:val="24"/>
              </w:rPr>
            </w:pPr>
          </w:p>
        </w:tc>
        <w:tc>
          <w:tcPr>
            <w:tcW w:w="282" w:type="dxa"/>
            <w:vMerge w:val="restart"/>
            <w:tcBorders>
              <w:top w:val="nil"/>
              <w:left w:val="nil"/>
              <w:bottom w:val="nil"/>
              <w:right w:val="nil"/>
            </w:tcBorders>
          </w:tcPr>
          <w:p w14:paraId="1658B743" w14:textId="026FD403" w:rsidR="00963264" w:rsidRPr="009E5DBF" w:rsidRDefault="00963264" w:rsidP="007A0A86">
            <w:pPr>
              <w:jc w:val="both"/>
              <w:rPr>
                <w:rFonts w:ascii="Book Antiqua" w:hAnsi="Book Antiqua"/>
                <w:sz w:val="24"/>
                <w:szCs w:val="24"/>
              </w:rPr>
            </w:pPr>
          </w:p>
        </w:tc>
        <w:tc>
          <w:tcPr>
            <w:tcW w:w="5776" w:type="dxa"/>
            <w:vMerge w:val="restart"/>
            <w:tcBorders>
              <w:top w:val="single" w:sz="4" w:space="0" w:color="auto"/>
              <w:left w:val="nil"/>
              <w:bottom w:val="nil"/>
              <w:right w:val="nil"/>
            </w:tcBorders>
          </w:tcPr>
          <w:p w14:paraId="647B3C56" w14:textId="6908E040" w:rsidR="00963264" w:rsidRPr="007068FA" w:rsidRDefault="009E5DBF" w:rsidP="009E5DBF">
            <w:pPr>
              <w:jc w:val="both"/>
              <w:rPr>
                <w:rFonts w:ascii="Book Antiqua" w:hAnsi="Book Antiqua"/>
                <w:lang w:val="sv-SE"/>
              </w:rPr>
            </w:pPr>
            <w:r w:rsidRPr="009E5DBF">
              <w:rPr>
                <w:rFonts w:ascii="Book Antiqua" w:hAnsi="Book Antiqua"/>
                <w:lang w:val="sv-SE"/>
              </w:rPr>
              <w:t xml:space="preserve">Latar Belakang: </w:t>
            </w:r>
            <w:commentRangeStart w:id="1"/>
            <w:r w:rsidRPr="009E5DBF">
              <w:rPr>
                <w:rFonts w:ascii="Book Antiqua" w:hAnsi="Book Antiqua"/>
                <w:lang w:val="sv-SE"/>
              </w:rPr>
              <w:t xml:space="preserve">Champion telah lama diakui sebagai faktor kunci dalam keberhasilan inisiatif perubahan dalam sektor kesehatan, baik untuk layanan rawat inap maupun rawat jalan. Mereka memainkan peran penting dalam mengatasi hambatan organisasi dan memfasilitasi </w:t>
            </w:r>
            <w:proofErr w:type="spellStart"/>
            <w:r w:rsidRPr="009E5DBF">
              <w:rPr>
                <w:rFonts w:ascii="Book Antiqua" w:hAnsi="Book Antiqua"/>
                <w:lang w:val="sv-SE"/>
              </w:rPr>
              <w:t>adopsi</w:t>
            </w:r>
            <w:proofErr w:type="spellEnd"/>
            <w:r w:rsidRPr="009E5DBF">
              <w:rPr>
                <w:rFonts w:ascii="Book Antiqua" w:hAnsi="Book Antiqua"/>
                <w:lang w:val="sv-SE"/>
              </w:rPr>
              <w:t xml:space="preserve"> </w:t>
            </w:r>
            <w:proofErr w:type="spellStart"/>
            <w:r w:rsidRPr="009E5DBF">
              <w:rPr>
                <w:rFonts w:ascii="Book Antiqua" w:hAnsi="Book Antiqua"/>
                <w:lang w:val="sv-SE"/>
              </w:rPr>
              <w:t>inovasi</w:t>
            </w:r>
            <w:proofErr w:type="spellEnd"/>
            <w:r w:rsidRPr="009E5DBF">
              <w:rPr>
                <w:rFonts w:ascii="Book Antiqua" w:hAnsi="Book Antiqua"/>
                <w:lang w:val="sv-SE"/>
              </w:rPr>
              <w:t xml:space="preserve"> yang </w:t>
            </w:r>
            <w:proofErr w:type="spellStart"/>
            <w:r w:rsidRPr="009E5DBF">
              <w:rPr>
                <w:rFonts w:ascii="Book Antiqua" w:hAnsi="Book Antiqua"/>
                <w:lang w:val="sv-SE"/>
              </w:rPr>
              <w:t>meningkatkan</w:t>
            </w:r>
            <w:proofErr w:type="spellEnd"/>
            <w:r w:rsidRPr="009E5DBF">
              <w:rPr>
                <w:rFonts w:ascii="Book Antiqua" w:hAnsi="Book Antiqua"/>
                <w:lang w:val="sv-SE"/>
              </w:rPr>
              <w:t xml:space="preserve"> </w:t>
            </w:r>
            <w:proofErr w:type="spellStart"/>
            <w:r w:rsidRPr="009E5DBF">
              <w:rPr>
                <w:rFonts w:ascii="Book Antiqua" w:hAnsi="Book Antiqua"/>
                <w:lang w:val="sv-SE"/>
              </w:rPr>
              <w:t>kualitas</w:t>
            </w:r>
            <w:proofErr w:type="spellEnd"/>
            <w:r w:rsidRPr="009E5DBF">
              <w:rPr>
                <w:rFonts w:ascii="Book Antiqua" w:hAnsi="Book Antiqua"/>
                <w:lang w:val="sv-SE"/>
              </w:rPr>
              <w:t xml:space="preserve"> </w:t>
            </w:r>
            <w:proofErr w:type="spellStart"/>
            <w:r w:rsidRPr="009E5DBF">
              <w:rPr>
                <w:rFonts w:ascii="Book Antiqua" w:hAnsi="Book Antiqua"/>
                <w:lang w:val="sv-SE"/>
              </w:rPr>
              <w:t>layanan</w:t>
            </w:r>
            <w:proofErr w:type="spellEnd"/>
            <w:r w:rsidRPr="009E5DBF">
              <w:rPr>
                <w:rFonts w:ascii="Book Antiqua" w:hAnsi="Book Antiqua"/>
                <w:lang w:val="sv-SE"/>
              </w:rPr>
              <w:t xml:space="preserve"> </w:t>
            </w:r>
            <w:proofErr w:type="spellStart"/>
            <w:r w:rsidRPr="009E5DBF">
              <w:rPr>
                <w:rFonts w:ascii="Book Antiqua" w:hAnsi="Book Antiqua"/>
                <w:lang w:val="sv-SE"/>
              </w:rPr>
              <w:t>kesehatan</w:t>
            </w:r>
            <w:commentRangeEnd w:id="1"/>
            <w:proofErr w:type="spellEnd"/>
            <w:r w:rsidR="00542FDA">
              <w:rPr>
                <w:rStyle w:val="ReferensiKomentar"/>
              </w:rPr>
              <w:commentReference w:id="1"/>
            </w:r>
            <w:r w:rsidRPr="009E5DBF">
              <w:rPr>
                <w:rFonts w:ascii="Book Antiqua" w:hAnsi="Book Antiqua"/>
                <w:lang w:val="sv-SE"/>
              </w:rPr>
              <w:t>.</w:t>
            </w:r>
            <w:r w:rsidR="007068FA">
              <w:rPr>
                <w:rFonts w:ascii="Book Antiqua" w:hAnsi="Book Antiqua"/>
                <w:lang w:val="sv-SE"/>
              </w:rPr>
              <w:t xml:space="preserve"> </w:t>
            </w:r>
            <w:r w:rsidRPr="009E5DBF">
              <w:rPr>
                <w:rFonts w:ascii="Book Antiqua" w:hAnsi="Book Antiqua"/>
                <w:lang w:val="sv-SE"/>
              </w:rPr>
              <w:t xml:space="preserve">Metode: Penelitian ini menggunakan pendekatan studi kasus komparatif untuk menganalisis implementasi layanan kontrasepsi pascapersalinan di 11 puskesmas di Kota Bengkulu pada tahun </w:t>
            </w:r>
            <w:proofErr w:type="gramStart"/>
            <w:r w:rsidRPr="009E5DBF">
              <w:rPr>
                <w:rFonts w:ascii="Book Antiqua" w:hAnsi="Book Antiqua"/>
                <w:lang w:val="sv-SE"/>
              </w:rPr>
              <w:t>2022-2023</w:t>
            </w:r>
            <w:proofErr w:type="gramEnd"/>
            <w:r w:rsidRPr="009E5DBF">
              <w:rPr>
                <w:rFonts w:ascii="Book Antiqua" w:hAnsi="Book Antiqua"/>
                <w:lang w:val="sv-SE"/>
              </w:rPr>
              <w:t>. Kerangka Kerja Konsolidasi untuk Penelitian Implementasi (CFIR) digunakan untuk memandu pengumpulan data, analisis, dan pelaporan. Data dikumpulkan melalui wawancara semi-terstruktur, observasi lapangan, dan dokumentasi.</w:t>
            </w:r>
            <w:r w:rsidR="007068FA">
              <w:rPr>
                <w:rFonts w:ascii="Book Antiqua" w:hAnsi="Book Antiqua"/>
                <w:lang w:val="sv-SE"/>
              </w:rPr>
              <w:t xml:space="preserve"> </w:t>
            </w:r>
            <w:r w:rsidRPr="009E5DBF">
              <w:rPr>
                <w:rFonts w:ascii="Book Antiqua" w:hAnsi="Book Antiqua"/>
                <w:lang w:val="sv-SE"/>
              </w:rPr>
              <w:t xml:space="preserve">Hasil: Dari 11 puskesmas yang berpartisipasi, sembilan berhasil merutinkan layanan kontrasepsi pascapersalinan, sementara dua lainnya menghadapi hambatan signifikan yang menghalangi keberhasilan implementasi. Enam atribut utama </w:t>
            </w:r>
            <w:proofErr w:type="gramStart"/>
            <w:r w:rsidRPr="009E5DBF">
              <w:rPr>
                <w:rFonts w:ascii="Book Antiqua" w:hAnsi="Book Antiqua"/>
                <w:lang w:val="sv-SE"/>
              </w:rPr>
              <w:t>dari champion</w:t>
            </w:r>
            <w:proofErr w:type="gramEnd"/>
            <w:r w:rsidRPr="009E5DBF">
              <w:rPr>
                <w:rFonts w:ascii="Book Antiqua" w:hAnsi="Book Antiqua"/>
                <w:lang w:val="sv-SE"/>
              </w:rPr>
              <w:t xml:space="preserve"> yang mempengaruhi hasil implementasi diidentifikasi: pengaruh, kepemilikan, kehadiran fisik, ketabahan, kemampuan persuasif, dan gaya kepemimpinan partisipatif.</w:t>
            </w:r>
            <w:r w:rsidR="007068FA">
              <w:rPr>
                <w:rFonts w:ascii="Book Antiqua" w:hAnsi="Book Antiqua"/>
                <w:lang w:val="sv-SE"/>
              </w:rPr>
              <w:t xml:space="preserve"> </w:t>
            </w:r>
            <w:r w:rsidRPr="009E5DBF">
              <w:rPr>
                <w:rFonts w:ascii="Book Antiqua" w:hAnsi="Book Antiqua"/>
                <w:lang w:val="sv-SE"/>
              </w:rPr>
              <w:t xml:space="preserve">Kesimpulan: Penelitian ini menggarisbawahi pentingnya peran champion dalam implementasi layanan kesehatan yang sukses dan menunjukkan bahwa keberhasilan mereka bergantung pada interaksi antara atribut individu dan konteks organisasi. Studi ini memberikan panduan praktis bagi organisasi untuk mengidentifikasi dan mengembangkan </w:t>
            </w:r>
            <w:proofErr w:type="gramStart"/>
            <w:r w:rsidRPr="009E5DBF">
              <w:rPr>
                <w:rFonts w:ascii="Book Antiqua" w:hAnsi="Book Antiqua"/>
                <w:lang w:val="sv-SE"/>
              </w:rPr>
              <w:t>champion yang</w:t>
            </w:r>
            <w:proofErr w:type="gramEnd"/>
            <w:r w:rsidRPr="009E5DBF">
              <w:rPr>
                <w:rFonts w:ascii="Book Antiqua" w:hAnsi="Book Antiqua"/>
                <w:lang w:val="sv-SE"/>
              </w:rPr>
              <w:t xml:space="preserve"> efektif dalam upaya perubahan layanan kesehatan</w:t>
            </w:r>
            <w:r w:rsidRPr="009E5DBF">
              <w:rPr>
                <w:rFonts w:ascii="Book Antiqua" w:hAnsi="Book Antiqua"/>
                <w:sz w:val="24"/>
                <w:szCs w:val="24"/>
                <w:lang w:val="sv-SE"/>
              </w:rPr>
              <w:t>.</w:t>
            </w:r>
          </w:p>
        </w:tc>
      </w:tr>
      <w:tr w:rsidR="00963264" w:rsidRPr="009E5DBF" w14:paraId="5AB61300" w14:textId="77777777" w:rsidTr="003301D1">
        <w:trPr>
          <w:trHeight w:val="759"/>
          <w:jc w:val="center"/>
        </w:trPr>
        <w:tc>
          <w:tcPr>
            <w:tcW w:w="2787" w:type="dxa"/>
            <w:gridSpan w:val="2"/>
            <w:vMerge w:val="restart"/>
            <w:tcBorders>
              <w:top w:val="single" w:sz="4" w:space="0" w:color="auto"/>
              <w:left w:val="nil"/>
              <w:bottom w:val="single" w:sz="4" w:space="0" w:color="auto"/>
              <w:right w:val="nil"/>
            </w:tcBorders>
          </w:tcPr>
          <w:p w14:paraId="4B416523" w14:textId="4C142136" w:rsidR="00963264" w:rsidRPr="009E5DBF" w:rsidRDefault="003301D1" w:rsidP="007A0A86">
            <w:pPr>
              <w:jc w:val="both"/>
              <w:rPr>
                <w:rFonts w:ascii="Book Antiqua" w:hAnsi="Book Antiqua"/>
                <w:sz w:val="24"/>
                <w:szCs w:val="24"/>
              </w:rPr>
            </w:pPr>
            <w:r w:rsidRPr="009E5DBF">
              <w:rPr>
                <w:rFonts w:ascii="Book Antiqua" w:hAnsi="Book Antiqua"/>
                <w:b/>
                <w:i/>
                <w:sz w:val="24"/>
                <w:szCs w:val="24"/>
              </w:rPr>
              <w:t xml:space="preserve">Kata </w:t>
            </w:r>
            <w:proofErr w:type="spellStart"/>
            <w:r w:rsidRPr="009E5DBF">
              <w:rPr>
                <w:rFonts w:ascii="Book Antiqua" w:hAnsi="Book Antiqua"/>
                <w:b/>
                <w:i/>
                <w:sz w:val="24"/>
                <w:szCs w:val="24"/>
              </w:rPr>
              <w:t>Kunci</w:t>
            </w:r>
            <w:proofErr w:type="spellEnd"/>
            <w:r w:rsidR="00963264" w:rsidRPr="009E5DBF">
              <w:rPr>
                <w:rFonts w:ascii="Book Antiqua" w:hAnsi="Book Antiqua"/>
                <w:b/>
                <w:i/>
                <w:sz w:val="24"/>
                <w:szCs w:val="24"/>
              </w:rPr>
              <w:t>:</w:t>
            </w:r>
            <w:r w:rsidR="007A0A86" w:rsidRPr="009E5DBF">
              <w:rPr>
                <w:rFonts w:ascii="Book Antiqua" w:hAnsi="Book Antiqua"/>
                <w:b/>
                <w:i/>
                <w:sz w:val="24"/>
                <w:szCs w:val="24"/>
              </w:rPr>
              <w:t xml:space="preserve"> </w:t>
            </w:r>
            <w:r w:rsidR="003D3E9F" w:rsidRPr="003D3E9F">
              <w:rPr>
                <w:rFonts w:ascii="Book Antiqua" w:hAnsi="Book Antiqua"/>
                <w:sz w:val="24"/>
                <w:szCs w:val="24"/>
                <w:lang w:val="sv-SE"/>
              </w:rPr>
              <w:t>Pelopor perubahan, peningkatan kualitas, ilmu implementasi, kontrasepsi pascapersalinan, layanan kesehatan ibu</w:t>
            </w:r>
            <w:r w:rsidR="003D3E9F" w:rsidRPr="009E5DBF">
              <w:rPr>
                <w:rFonts w:ascii="Book Antiqua" w:hAnsi="Book Antiqua"/>
                <w:sz w:val="24"/>
                <w:szCs w:val="24"/>
              </w:rPr>
              <w:t xml:space="preserve"> </w:t>
            </w:r>
          </w:p>
        </w:tc>
        <w:tc>
          <w:tcPr>
            <w:tcW w:w="282" w:type="dxa"/>
            <w:tcBorders>
              <w:top w:val="nil"/>
              <w:left w:val="nil"/>
              <w:bottom w:val="nil"/>
              <w:right w:val="nil"/>
            </w:tcBorders>
          </w:tcPr>
          <w:p w14:paraId="1952B1AA" w14:textId="77777777" w:rsidR="00963264" w:rsidRPr="009E5DBF" w:rsidRDefault="00963264" w:rsidP="007A0A86">
            <w:pPr>
              <w:jc w:val="both"/>
              <w:rPr>
                <w:rFonts w:ascii="Book Antiqua" w:hAnsi="Book Antiqua"/>
                <w:sz w:val="24"/>
                <w:szCs w:val="24"/>
              </w:rPr>
            </w:pPr>
          </w:p>
        </w:tc>
        <w:tc>
          <w:tcPr>
            <w:tcW w:w="282" w:type="dxa"/>
            <w:vMerge/>
            <w:tcBorders>
              <w:top w:val="nil"/>
              <w:left w:val="nil"/>
              <w:bottom w:val="nil"/>
              <w:right w:val="nil"/>
            </w:tcBorders>
          </w:tcPr>
          <w:p w14:paraId="26D1DFBC" w14:textId="082F4ABC" w:rsidR="00963264" w:rsidRPr="009E5DBF" w:rsidRDefault="00963264" w:rsidP="007A0A86">
            <w:pPr>
              <w:jc w:val="both"/>
              <w:rPr>
                <w:rFonts w:ascii="Book Antiqua" w:hAnsi="Book Antiqua"/>
                <w:sz w:val="24"/>
                <w:szCs w:val="24"/>
              </w:rPr>
            </w:pPr>
          </w:p>
        </w:tc>
        <w:tc>
          <w:tcPr>
            <w:tcW w:w="5776" w:type="dxa"/>
            <w:vMerge/>
            <w:tcBorders>
              <w:top w:val="nil"/>
              <w:left w:val="nil"/>
              <w:bottom w:val="single" w:sz="4" w:space="0" w:color="auto"/>
              <w:right w:val="nil"/>
            </w:tcBorders>
          </w:tcPr>
          <w:p w14:paraId="5C80F7FA" w14:textId="77777777" w:rsidR="00963264" w:rsidRPr="009E5DBF" w:rsidRDefault="00963264" w:rsidP="007A0A86">
            <w:pPr>
              <w:jc w:val="both"/>
              <w:rPr>
                <w:rFonts w:ascii="Book Antiqua" w:hAnsi="Book Antiqua"/>
                <w:iCs/>
                <w:sz w:val="24"/>
                <w:szCs w:val="24"/>
              </w:rPr>
            </w:pPr>
          </w:p>
        </w:tc>
      </w:tr>
      <w:tr w:rsidR="00963264" w:rsidRPr="009E5DBF" w14:paraId="1578794C" w14:textId="77777777" w:rsidTr="003301D1">
        <w:trPr>
          <w:trHeight w:val="70"/>
          <w:jc w:val="center"/>
        </w:trPr>
        <w:tc>
          <w:tcPr>
            <w:tcW w:w="2787" w:type="dxa"/>
            <w:gridSpan w:val="2"/>
            <w:vMerge/>
            <w:tcBorders>
              <w:top w:val="single" w:sz="4" w:space="0" w:color="auto"/>
              <w:left w:val="nil"/>
              <w:bottom w:val="single" w:sz="4" w:space="0" w:color="auto"/>
              <w:right w:val="nil"/>
            </w:tcBorders>
          </w:tcPr>
          <w:p w14:paraId="1603D765" w14:textId="77777777" w:rsidR="00963264" w:rsidRPr="009E5DBF" w:rsidRDefault="00963264" w:rsidP="007A0A86">
            <w:pPr>
              <w:jc w:val="both"/>
              <w:rPr>
                <w:rFonts w:ascii="Book Antiqua" w:hAnsi="Book Antiqua"/>
                <w:b/>
                <w:i/>
                <w:sz w:val="24"/>
                <w:szCs w:val="24"/>
              </w:rPr>
            </w:pPr>
          </w:p>
        </w:tc>
        <w:tc>
          <w:tcPr>
            <w:tcW w:w="282" w:type="dxa"/>
            <w:tcBorders>
              <w:top w:val="nil"/>
              <w:left w:val="nil"/>
              <w:bottom w:val="nil"/>
              <w:right w:val="nil"/>
            </w:tcBorders>
          </w:tcPr>
          <w:p w14:paraId="2474F0D8" w14:textId="77777777" w:rsidR="00963264" w:rsidRPr="009E5DBF" w:rsidRDefault="00963264" w:rsidP="007A0A86">
            <w:pPr>
              <w:jc w:val="both"/>
              <w:rPr>
                <w:rFonts w:ascii="Book Antiqua" w:hAnsi="Book Antiqua"/>
                <w:sz w:val="24"/>
                <w:szCs w:val="24"/>
              </w:rPr>
            </w:pPr>
          </w:p>
        </w:tc>
        <w:tc>
          <w:tcPr>
            <w:tcW w:w="282" w:type="dxa"/>
            <w:vMerge/>
            <w:tcBorders>
              <w:top w:val="nil"/>
              <w:left w:val="nil"/>
              <w:bottom w:val="nil"/>
              <w:right w:val="nil"/>
            </w:tcBorders>
          </w:tcPr>
          <w:p w14:paraId="2C6B02DA" w14:textId="14769669" w:rsidR="00963264" w:rsidRPr="009E5DBF" w:rsidRDefault="00963264" w:rsidP="007A0A86">
            <w:pPr>
              <w:jc w:val="both"/>
              <w:rPr>
                <w:rFonts w:ascii="Book Antiqua" w:hAnsi="Book Antiqua"/>
                <w:sz w:val="24"/>
                <w:szCs w:val="24"/>
              </w:rPr>
            </w:pPr>
          </w:p>
        </w:tc>
        <w:tc>
          <w:tcPr>
            <w:tcW w:w="5776" w:type="dxa"/>
            <w:tcBorders>
              <w:top w:val="single" w:sz="4" w:space="0" w:color="auto"/>
              <w:left w:val="nil"/>
              <w:bottom w:val="single" w:sz="4" w:space="0" w:color="auto"/>
              <w:right w:val="nil"/>
            </w:tcBorders>
          </w:tcPr>
          <w:p w14:paraId="18D744D6" w14:textId="689F38A2" w:rsidR="00963264" w:rsidRPr="009E5DBF" w:rsidRDefault="003301D1" w:rsidP="007A0A86">
            <w:pPr>
              <w:rPr>
                <w:rFonts w:ascii="Book Antiqua" w:hAnsi="Book Antiqua"/>
                <w:i/>
                <w:iCs/>
                <w:sz w:val="24"/>
                <w:szCs w:val="24"/>
              </w:rPr>
            </w:pPr>
            <w:r w:rsidRPr="009E5DBF">
              <w:rPr>
                <w:rFonts w:ascii="Book Antiqua" w:hAnsi="Book Antiqua"/>
                <w:b/>
                <w:bCs/>
                <w:i/>
                <w:iCs/>
                <w:sz w:val="24"/>
                <w:szCs w:val="24"/>
              </w:rPr>
              <w:t>ABSTRACT</w:t>
            </w:r>
          </w:p>
        </w:tc>
      </w:tr>
      <w:tr w:rsidR="003301D1" w:rsidRPr="009E5DBF" w14:paraId="214476D1" w14:textId="77777777" w:rsidTr="003301D1">
        <w:trPr>
          <w:trHeight w:val="70"/>
          <w:jc w:val="center"/>
        </w:trPr>
        <w:tc>
          <w:tcPr>
            <w:tcW w:w="2787" w:type="dxa"/>
            <w:gridSpan w:val="2"/>
            <w:tcBorders>
              <w:top w:val="single" w:sz="4" w:space="0" w:color="auto"/>
              <w:left w:val="nil"/>
              <w:bottom w:val="single" w:sz="4" w:space="0" w:color="auto"/>
              <w:right w:val="nil"/>
            </w:tcBorders>
          </w:tcPr>
          <w:p w14:paraId="1CBE4A2D" w14:textId="29B9FE37" w:rsidR="003301D1" w:rsidRPr="009E5DBF" w:rsidRDefault="003301D1" w:rsidP="007A0A86">
            <w:pPr>
              <w:jc w:val="both"/>
              <w:rPr>
                <w:rFonts w:ascii="Book Antiqua" w:hAnsi="Book Antiqua"/>
                <w:b/>
                <w:i/>
                <w:sz w:val="24"/>
                <w:szCs w:val="24"/>
              </w:rPr>
            </w:pPr>
            <w:r w:rsidRPr="009E5DBF">
              <w:rPr>
                <w:rFonts w:ascii="Book Antiqua" w:hAnsi="Book Antiqua"/>
                <w:b/>
                <w:i/>
                <w:sz w:val="24"/>
                <w:szCs w:val="24"/>
              </w:rPr>
              <w:t xml:space="preserve">Keywords: </w:t>
            </w:r>
            <w:r w:rsidR="007068FA" w:rsidRPr="007068FA">
              <w:rPr>
                <w:rFonts w:ascii="Book Antiqua" w:hAnsi="Book Antiqua"/>
                <w:sz w:val="24"/>
                <w:szCs w:val="24"/>
              </w:rPr>
              <w:t>Pioneers of change, quality improvement, implementation science, postpartum contraception, maternal health services</w:t>
            </w:r>
          </w:p>
        </w:tc>
        <w:tc>
          <w:tcPr>
            <w:tcW w:w="282" w:type="dxa"/>
            <w:tcBorders>
              <w:top w:val="nil"/>
              <w:left w:val="nil"/>
              <w:bottom w:val="nil"/>
              <w:right w:val="nil"/>
            </w:tcBorders>
          </w:tcPr>
          <w:p w14:paraId="4B30716B" w14:textId="77777777" w:rsidR="003301D1" w:rsidRPr="009E5DBF" w:rsidRDefault="003301D1" w:rsidP="007A0A86">
            <w:pPr>
              <w:jc w:val="both"/>
              <w:rPr>
                <w:rFonts w:ascii="Book Antiqua" w:hAnsi="Book Antiqua"/>
                <w:sz w:val="24"/>
                <w:szCs w:val="24"/>
              </w:rPr>
            </w:pPr>
          </w:p>
        </w:tc>
        <w:tc>
          <w:tcPr>
            <w:tcW w:w="282" w:type="dxa"/>
            <w:tcBorders>
              <w:top w:val="nil"/>
              <w:left w:val="nil"/>
              <w:bottom w:val="nil"/>
              <w:right w:val="nil"/>
            </w:tcBorders>
          </w:tcPr>
          <w:p w14:paraId="1C7C043E" w14:textId="77777777" w:rsidR="003301D1" w:rsidRPr="009E5DBF" w:rsidRDefault="003301D1" w:rsidP="007A0A86">
            <w:pPr>
              <w:jc w:val="both"/>
              <w:rPr>
                <w:rFonts w:ascii="Book Antiqua" w:hAnsi="Book Antiqua"/>
                <w:sz w:val="24"/>
                <w:szCs w:val="24"/>
              </w:rPr>
            </w:pPr>
          </w:p>
        </w:tc>
        <w:tc>
          <w:tcPr>
            <w:tcW w:w="5776" w:type="dxa"/>
            <w:tcBorders>
              <w:top w:val="single" w:sz="4" w:space="0" w:color="auto"/>
              <w:left w:val="nil"/>
              <w:bottom w:val="single" w:sz="4" w:space="0" w:color="auto"/>
              <w:right w:val="nil"/>
            </w:tcBorders>
          </w:tcPr>
          <w:p w14:paraId="5DF20AA3" w14:textId="179A0EF5" w:rsidR="003301D1" w:rsidRPr="009E5DBF" w:rsidRDefault="007068FA" w:rsidP="007068FA">
            <w:pPr>
              <w:ind w:left="50" w:right="-70"/>
              <w:contextualSpacing/>
              <w:jc w:val="both"/>
              <w:rPr>
                <w:rFonts w:ascii="Book Antiqua" w:hAnsi="Book Antiqua"/>
                <w:sz w:val="24"/>
                <w:szCs w:val="24"/>
              </w:rPr>
            </w:pPr>
            <w:r w:rsidRPr="007068FA">
              <w:rPr>
                <w:rFonts w:ascii="Book Antiqua" w:hAnsi="Book Antiqua"/>
                <w:sz w:val="24"/>
                <w:szCs w:val="24"/>
              </w:rPr>
              <w:t xml:space="preserve">Background: Champions have long been </w:t>
            </w:r>
            <w:proofErr w:type="spellStart"/>
            <w:r w:rsidRPr="007068FA">
              <w:rPr>
                <w:rFonts w:ascii="Book Antiqua" w:hAnsi="Book Antiqua"/>
                <w:sz w:val="24"/>
                <w:szCs w:val="24"/>
              </w:rPr>
              <w:t>recognised</w:t>
            </w:r>
            <w:proofErr w:type="spellEnd"/>
            <w:r w:rsidRPr="007068FA">
              <w:rPr>
                <w:rFonts w:ascii="Book Antiqua" w:hAnsi="Book Antiqua"/>
                <w:sz w:val="24"/>
                <w:szCs w:val="24"/>
              </w:rPr>
              <w:t xml:space="preserve"> as a key factor in the success of change initiatives within the healthcare sector, for both inpatient and outpatient services. They play an important role in overcoming </w:t>
            </w:r>
            <w:proofErr w:type="spellStart"/>
            <w:r w:rsidRPr="007068FA">
              <w:rPr>
                <w:rFonts w:ascii="Book Antiqua" w:hAnsi="Book Antiqua"/>
                <w:sz w:val="24"/>
                <w:szCs w:val="24"/>
              </w:rPr>
              <w:t>organisational</w:t>
            </w:r>
            <w:proofErr w:type="spellEnd"/>
            <w:r w:rsidRPr="007068FA">
              <w:rPr>
                <w:rFonts w:ascii="Book Antiqua" w:hAnsi="Book Antiqua"/>
                <w:sz w:val="24"/>
                <w:szCs w:val="24"/>
              </w:rPr>
              <w:t xml:space="preserve"> barriers and facilitating the adoption of innovations that improve healthcare quality.</w:t>
            </w:r>
            <w:r>
              <w:rPr>
                <w:rFonts w:ascii="Book Antiqua" w:hAnsi="Book Antiqua"/>
                <w:sz w:val="24"/>
                <w:szCs w:val="24"/>
              </w:rPr>
              <w:t xml:space="preserve"> </w:t>
            </w:r>
            <w:r w:rsidRPr="007068FA">
              <w:rPr>
                <w:rFonts w:ascii="Book Antiqua" w:hAnsi="Book Antiqua"/>
                <w:sz w:val="24"/>
                <w:szCs w:val="24"/>
              </w:rPr>
              <w:t xml:space="preserve">Methods: This study used a comparative case study approach to </w:t>
            </w:r>
            <w:proofErr w:type="spellStart"/>
            <w:r w:rsidRPr="007068FA">
              <w:rPr>
                <w:rFonts w:ascii="Book Antiqua" w:hAnsi="Book Antiqua"/>
                <w:sz w:val="24"/>
                <w:szCs w:val="24"/>
              </w:rPr>
              <w:t>analyse</w:t>
            </w:r>
            <w:proofErr w:type="spellEnd"/>
            <w:r w:rsidRPr="007068FA">
              <w:rPr>
                <w:rFonts w:ascii="Book Antiqua" w:hAnsi="Book Antiqua"/>
                <w:sz w:val="24"/>
                <w:szCs w:val="24"/>
              </w:rPr>
              <w:t xml:space="preserve"> the implementation of postpartum contraceptive services in 11 </w:t>
            </w:r>
            <w:proofErr w:type="spellStart"/>
            <w:r w:rsidRPr="007068FA">
              <w:rPr>
                <w:rFonts w:ascii="Book Antiqua" w:hAnsi="Book Antiqua"/>
                <w:sz w:val="24"/>
                <w:szCs w:val="24"/>
              </w:rPr>
              <w:t>puskesmas</w:t>
            </w:r>
            <w:proofErr w:type="spellEnd"/>
            <w:r w:rsidRPr="007068FA">
              <w:rPr>
                <w:rFonts w:ascii="Book Antiqua" w:hAnsi="Book Antiqua"/>
                <w:sz w:val="24"/>
                <w:szCs w:val="24"/>
              </w:rPr>
              <w:t xml:space="preserve"> in Bengkulu City in 2022-2023. The Consolidated Framework for Implementation Research (CFIR) was used to guide data collection, </w:t>
            </w:r>
            <w:r w:rsidRPr="007068FA">
              <w:rPr>
                <w:rFonts w:ascii="Book Antiqua" w:hAnsi="Book Antiqua"/>
                <w:sz w:val="24"/>
                <w:szCs w:val="24"/>
              </w:rPr>
              <w:lastRenderedPageBreak/>
              <w:t>analysis and reporting. Data were collected through semi-structured interviews, field observations, and documentation.</w:t>
            </w:r>
            <w:r>
              <w:rPr>
                <w:rFonts w:ascii="Book Antiqua" w:hAnsi="Book Antiqua"/>
                <w:sz w:val="24"/>
                <w:szCs w:val="24"/>
              </w:rPr>
              <w:t xml:space="preserve"> </w:t>
            </w:r>
            <w:r w:rsidRPr="007068FA">
              <w:rPr>
                <w:rFonts w:ascii="Book Antiqua" w:hAnsi="Book Antiqua"/>
                <w:sz w:val="24"/>
                <w:szCs w:val="24"/>
              </w:rPr>
              <w:t xml:space="preserve">Results: Of the 11 participating health </w:t>
            </w:r>
            <w:proofErr w:type="spellStart"/>
            <w:r w:rsidRPr="007068FA">
              <w:rPr>
                <w:rFonts w:ascii="Book Antiqua" w:hAnsi="Book Antiqua"/>
                <w:sz w:val="24"/>
                <w:szCs w:val="24"/>
              </w:rPr>
              <w:t>centres</w:t>
            </w:r>
            <w:proofErr w:type="spellEnd"/>
            <w:r w:rsidRPr="007068FA">
              <w:rPr>
                <w:rFonts w:ascii="Book Antiqua" w:hAnsi="Book Antiqua"/>
                <w:sz w:val="24"/>
                <w:szCs w:val="24"/>
              </w:rPr>
              <w:t xml:space="preserve">, nine successfully routinised postpartum contraceptive services, while the remaining </w:t>
            </w:r>
            <w:proofErr w:type="gramStart"/>
            <w:r w:rsidRPr="007068FA">
              <w:rPr>
                <w:rFonts w:ascii="Book Antiqua" w:hAnsi="Book Antiqua"/>
                <w:sz w:val="24"/>
                <w:szCs w:val="24"/>
              </w:rPr>
              <w:t>two faced</w:t>
            </w:r>
            <w:proofErr w:type="gramEnd"/>
            <w:r w:rsidRPr="007068FA">
              <w:rPr>
                <w:rFonts w:ascii="Book Antiqua" w:hAnsi="Book Antiqua"/>
                <w:sz w:val="24"/>
                <w:szCs w:val="24"/>
              </w:rPr>
              <w:t xml:space="preserve"> significant barriers that prevented successful implementation. Six key attributes of champions that influenced implementation outcomes were identified: influence, ownership, physical presence, fortitude, persuasive ability, and participatory leadership style.</w:t>
            </w:r>
            <w:r>
              <w:t xml:space="preserve"> </w:t>
            </w:r>
            <w:r>
              <w:rPr>
                <w:rFonts w:ascii="Book Antiqua" w:hAnsi="Book Antiqua"/>
                <w:sz w:val="24"/>
                <w:szCs w:val="24"/>
              </w:rPr>
              <w:t xml:space="preserve"> </w:t>
            </w:r>
            <w:r w:rsidRPr="007068FA">
              <w:rPr>
                <w:rFonts w:ascii="Book Antiqua" w:hAnsi="Book Antiqua"/>
                <w:sz w:val="24"/>
                <w:szCs w:val="24"/>
              </w:rPr>
              <w:t xml:space="preserve">This study underscores the important role of champions in successful healthcare implementation and shows that their success depends on the interaction between individual attributes and </w:t>
            </w:r>
            <w:proofErr w:type="spellStart"/>
            <w:r w:rsidRPr="007068FA">
              <w:rPr>
                <w:rFonts w:ascii="Book Antiqua" w:hAnsi="Book Antiqua"/>
                <w:sz w:val="24"/>
                <w:szCs w:val="24"/>
              </w:rPr>
              <w:t>organisational</w:t>
            </w:r>
            <w:proofErr w:type="spellEnd"/>
            <w:r w:rsidRPr="007068FA">
              <w:rPr>
                <w:rFonts w:ascii="Book Antiqua" w:hAnsi="Book Antiqua"/>
                <w:sz w:val="24"/>
                <w:szCs w:val="24"/>
              </w:rPr>
              <w:t xml:space="preserve"> </w:t>
            </w:r>
            <w:proofErr w:type="spellStart"/>
            <w:proofErr w:type="gramStart"/>
            <w:r w:rsidRPr="007068FA">
              <w:rPr>
                <w:rFonts w:ascii="Book Antiqua" w:hAnsi="Book Antiqua"/>
                <w:sz w:val="24"/>
                <w:szCs w:val="24"/>
              </w:rPr>
              <w:t>context.The</w:t>
            </w:r>
            <w:proofErr w:type="spellEnd"/>
            <w:proofErr w:type="gramEnd"/>
            <w:r w:rsidRPr="007068FA">
              <w:rPr>
                <w:rFonts w:ascii="Book Antiqua" w:hAnsi="Book Antiqua"/>
                <w:sz w:val="24"/>
                <w:szCs w:val="24"/>
              </w:rPr>
              <w:t xml:space="preserve"> study provides practical guidance for </w:t>
            </w:r>
            <w:proofErr w:type="spellStart"/>
            <w:r w:rsidRPr="007068FA">
              <w:rPr>
                <w:rFonts w:ascii="Book Antiqua" w:hAnsi="Book Antiqua"/>
                <w:sz w:val="24"/>
                <w:szCs w:val="24"/>
              </w:rPr>
              <w:t>organisations</w:t>
            </w:r>
            <w:proofErr w:type="spellEnd"/>
            <w:r w:rsidRPr="007068FA">
              <w:rPr>
                <w:rFonts w:ascii="Book Antiqua" w:hAnsi="Book Antiqua"/>
                <w:sz w:val="24"/>
                <w:szCs w:val="24"/>
              </w:rPr>
              <w:t xml:space="preserve"> to identify and develop effective champio</w:t>
            </w:r>
            <w:r>
              <w:rPr>
                <w:rFonts w:ascii="Book Antiqua" w:hAnsi="Book Antiqua"/>
                <w:sz w:val="24"/>
                <w:szCs w:val="24"/>
              </w:rPr>
              <w:t>ns in healthcare change efforts</w:t>
            </w:r>
            <w:r w:rsidR="003301D1" w:rsidRPr="009E5DBF">
              <w:rPr>
                <w:rFonts w:ascii="Book Antiqua" w:hAnsi="Book Antiqua"/>
                <w:sz w:val="24"/>
                <w:szCs w:val="24"/>
              </w:rPr>
              <w:t>.</w:t>
            </w:r>
          </w:p>
          <w:p w14:paraId="5CBB875A" w14:textId="77777777" w:rsidR="003301D1" w:rsidRPr="009E5DBF" w:rsidRDefault="003301D1" w:rsidP="007A0A86">
            <w:pPr>
              <w:rPr>
                <w:rFonts w:ascii="Book Antiqua" w:hAnsi="Book Antiqua"/>
                <w:b/>
                <w:bCs/>
                <w:i/>
                <w:iCs/>
                <w:sz w:val="24"/>
                <w:szCs w:val="24"/>
              </w:rPr>
            </w:pPr>
          </w:p>
        </w:tc>
      </w:tr>
      <w:tr w:rsidR="00963264" w:rsidRPr="009E5DBF" w14:paraId="294A13ED" w14:textId="77777777" w:rsidTr="00963264">
        <w:trPr>
          <w:jc w:val="center"/>
        </w:trPr>
        <w:tc>
          <w:tcPr>
            <w:tcW w:w="282" w:type="dxa"/>
            <w:tcBorders>
              <w:top w:val="nil"/>
              <w:left w:val="nil"/>
              <w:bottom w:val="double" w:sz="4" w:space="0" w:color="auto"/>
              <w:right w:val="nil"/>
            </w:tcBorders>
          </w:tcPr>
          <w:p w14:paraId="33864B03" w14:textId="77777777" w:rsidR="00963264" w:rsidRPr="009E5DBF" w:rsidRDefault="00963264" w:rsidP="007A0A86">
            <w:pPr>
              <w:rPr>
                <w:rFonts w:ascii="Book Antiqua" w:hAnsi="Book Antiqua"/>
                <w:b/>
                <w:i/>
                <w:sz w:val="24"/>
                <w:szCs w:val="24"/>
              </w:rPr>
            </w:pPr>
          </w:p>
        </w:tc>
        <w:tc>
          <w:tcPr>
            <w:tcW w:w="8845" w:type="dxa"/>
            <w:gridSpan w:val="4"/>
            <w:tcBorders>
              <w:top w:val="nil"/>
              <w:left w:val="nil"/>
              <w:bottom w:val="double" w:sz="4" w:space="0" w:color="auto"/>
              <w:right w:val="nil"/>
            </w:tcBorders>
          </w:tcPr>
          <w:p w14:paraId="49D20AE3" w14:textId="354858E0" w:rsidR="00963264" w:rsidRPr="009E5DBF" w:rsidRDefault="00963264" w:rsidP="00380179">
            <w:pPr>
              <w:jc w:val="both"/>
              <w:rPr>
                <w:rFonts w:ascii="Book Antiqua" w:hAnsi="Book Antiqua"/>
                <w:b/>
                <w:i/>
                <w:sz w:val="24"/>
                <w:szCs w:val="24"/>
              </w:rPr>
            </w:pPr>
            <w:r w:rsidRPr="009E5DBF">
              <w:rPr>
                <w:rFonts w:ascii="Book Antiqua" w:hAnsi="Book Antiqua"/>
                <w:b/>
                <w:i/>
                <w:sz w:val="24"/>
                <w:szCs w:val="24"/>
              </w:rPr>
              <w:t>Corresponding Authors: (*)</w:t>
            </w:r>
          </w:p>
          <w:p w14:paraId="223AC6BD" w14:textId="2CE069B3" w:rsidR="007068FA" w:rsidRDefault="00E6274B" w:rsidP="00380179">
            <w:pPr>
              <w:jc w:val="both"/>
              <w:rPr>
                <w:rFonts w:ascii="Book Antiqua" w:hAnsi="Book Antiqua"/>
                <w:sz w:val="24"/>
                <w:szCs w:val="24"/>
              </w:rPr>
            </w:pPr>
            <w:r>
              <w:rPr>
                <w:rFonts w:ascii="Book Antiqua" w:hAnsi="Book Antiqua"/>
                <w:sz w:val="24"/>
                <w:szCs w:val="24"/>
              </w:rPr>
              <w:t>xxx</w:t>
            </w:r>
          </w:p>
          <w:p w14:paraId="3C411EDF" w14:textId="222EB959" w:rsidR="00963264" w:rsidRPr="009E5DBF" w:rsidRDefault="00963264" w:rsidP="00380179">
            <w:pPr>
              <w:jc w:val="both"/>
              <w:rPr>
                <w:rFonts w:ascii="Book Antiqua" w:hAnsi="Book Antiqua"/>
                <w:sz w:val="24"/>
                <w:szCs w:val="24"/>
              </w:rPr>
            </w:pPr>
            <w:r w:rsidRPr="009E5DBF">
              <w:rPr>
                <w:rFonts w:ascii="Book Antiqua" w:hAnsi="Book Antiqua"/>
                <w:sz w:val="24"/>
                <w:szCs w:val="24"/>
              </w:rPr>
              <w:t>Email:</w:t>
            </w:r>
            <w:r w:rsidR="00E6274B" w:rsidRPr="009E5DBF">
              <w:rPr>
                <w:rFonts w:ascii="Book Antiqua" w:hAnsi="Book Antiqua"/>
                <w:sz w:val="24"/>
                <w:szCs w:val="24"/>
              </w:rPr>
              <w:t xml:space="preserve"> </w:t>
            </w:r>
          </w:p>
        </w:tc>
      </w:tr>
    </w:tbl>
    <w:p w14:paraId="6D2E917E" w14:textId="72A21299" w:rsidR="00C07BEF" w:rsidRPr="009E5DBF" w:rsidRDefault="00C07BEF" w:rsidP="00957C11">
      <w:pPr>
        <w:jc w:val="both"/>
        <w:rPr>
          <w:rFonts w:ascii="Book Antiqua" w:hAnsi="Book Antiqua"/>
          <w:sz w:val="24"/>
          <w:szCs w:val="24"/>
        </w:rPr>
      </w:pPr>
    </w:p>
    <w:p w14:paraId="041E78ED" w14:textId="0B5A2DBE" w:rsidR="002E617E" w:rsidRPr="009E5DBF" w:rsidRDefault="007A0A86" w:rsidP="00380179">
      <w:pPr>
        <w:tabs>
          <w:tab w:val="left" w:pos="426"/>
        </w:tabs>
        <w:rPr>
          <w:rFonts w:ascii="Book Antiqua" w:hAnsi="Book Antiqua"/>
          <w:b/>
          <w:bCs/>
          <w:sz w:val="24"/>
          <w:szCs w:val="24"/>
          <w:lang w:val="id-ID"/>
        </w:rPr>
      </w:pPr>
      <w:r w:rsidRPr="009E5DBF">
        <w:rPr>
          <w:rFonts w:ascii="Book Antiqua" w:hAnsi="Book Antiqua"/>
          <w:b/>
          <w:bCs/>
          <w:sz w:val="24"/>
          <w:szCs w:val="24"/>
        </w:rPr>
        <w:t>PENDAHULUAN</w:t>
      </w:r>
    </w:p>
    <w:p w14:paraId="171B63E5"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rPr>
        <w:t xml:space="preserve">Para champion </w:t>
      </w:r>
      <w:proofErr w:type="spellStart"/>
      <w:r w:rsidRPr="009E5DBF">
        <w:rPr>
          <w:rFonts w:ascii="Book Antiqua" w:hAnsi="Book Antiqua"/>
          <w:sz w:val="24"/>
          <w:szCs w:val="24"/>
        </w:rPr>
        <w:t>telah</w:t>
      </w:r>
      <w:proofErr w:type="spellEnd"/>
      <w:r w:rsidRPr="009E5DBF">
        <w:rPr>
          <w:rFonts w:ascii="Book Antiqua" w:hAnsi="Book Antiqua"/>
          <w:sz w:val="24"/>
          <w:szCs w:val="24"/>
        </w:rPr>
        <w:t xml:space="preserve"> lama </w:t>
      </w:r>
      <w:proofErr w:type="spellStart"/>
      <w:r w:rsidRPr="009E5DBF">
        <w:rPr>
          <w:rFonts w:ascii="Book Antiqua" w:hAnsi="Book Antiqua"/>
          <w:sz w:val="24"/>
          <w:szCs w:val="24"/>
        </w:rPr>
        <w:t>dikenal</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sebagai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pendorong</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utama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inisiatif</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perubahan</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sukses</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dalam</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industri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kesehatan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baik</w:t>
      </w:r>
      <w:proofErr w:type="spellEnd"/>
      <w:r w:rsidRPr="009E5DBF">
        <w:rPr>
          <w:rFonts w:ascii="Book Antiqua" w:hAnsi="Book Antiqua"/>
          <w:sz w:val="24"/>
          <w:szCs w:val="24"/>
        </w:rPr>
        <w:t xml:space="preserve"> di </w:t>
      </w:r>
      <w:proofErr w:type="spellStart"/>
      <w:r w:rsidRPr="009E5DBF">
        <w:rPr>
          <w:rFonts w:ascii="Book Antiqua" w:hAnsi="Book Antiqua"/>
          <w:sz w:val="24"/>
          <w:szCs w:val="24"/>
        </w:rPr>
        <w:t>rawat</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inap</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maupun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rawat</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jalan</w:t>
      </w:r>
      <w:proofErr w:type="spellEnd"/>
      <w:r w:rsidRPr="009E5DBF">
        <w:rPr>
          <w:rFonts w:ascii="Book Antiqua" w:hAnsi="Book Antiqua"/>
          <w:sz w:val="24"/>
          <w:szCs w:val="24"/>
        </w:rPr>
        <w:t xml:space="preserve"> </w:t>
      </w:r>
      <w:r w:rsidRPr="009E5DBF">
        <w:rPr>
          <w:rFonts w:ascii="Book Antiqua" w:hAnsi="Book Antiqua"/>
          <w:sz w:val="24"/>
          <w:szCs w:val="24"/>
        </w:rPr>
        <w:fldChar w:fldCharType="begin" w:fldLock="1"/>
      </w:r>
      <w:r w:rsidRPr="009E5DBF">
        <w:rPr>
          <w:rFonts w:ascii="Book Antiqua" w:hAnsi="Book Antiqua"/>
          <w:sz w:val="24"/>
          <w:szCs w:val="24"/>
        </w:rPr>
        <w:instrText>ADDIN CSL_CITATION {"citationItems":[{"id":"ITEM-1","itemData":{"DOI":"10.1186/s12913-024-10867-7","ISBN":"1291302410867","ISSN":"14726963","PMID":"38605304","abstract":"Background: Champions play a critical role in implementing technology within healthcare services. While prior studies have explored the presence and characteristics of champions, this review delves into the experiences of healthcare personnel holding champion roles, as well as the experiences of healthcare personnel interacting with them. By synthesizing existing knowledge, this review aims to inform decisions regarding the inclusion of champions as a strategy in technology implementation and guide healthcare personnel in these roles. Methods: A systematic mixed studies review, covering qualitative, quantitative, or mixed designs, was conducted from September 2022 to March 2023. The search spanned Medline, Embase, CINAHL, and Scopus, focusing on studies published from 2012 onwards. The review centered on health personnel serving as champions in technology implementation within healthcare services. Quality assessments utilized the Mixed Methods Appraisal Tool (MMAT). Results: From 1629 screened studies, 23 were included. The champion role was often examined within the broader context of technology implementation. Limited studies explicitly explored experiences related to the champion role from both champions’ and health personnel’s perspectives. Champions emerged as promoters of technology, supporting its adoption. Success factors included anchoring and selection processes, champions’ expertise, and effective role performance. Discussion: The specific tasks and responsibilities assigned to champions differed across reviewed studies, highlighting that the role of champion is a broad one, dependent on the technology being implemented and the site implementing it. Findings indicated a correlation between champion experiences and organizational characteristics. The role’s firm anchoring within the organization is crucial. Limited evidence suggests that volunteering, hiring newly graduated health personnel, and having multiple champions can facilitate technology implementation. Existing studies predominantly focused on client health records and hospitals, emphasizing the need for broader research across healthcare services. Conclusions: With a clear mandate, dedicated time, and proper training, health personnel in champion roles can significantly contribute professional, technological, and personal competencies to facilitate technology adoption within healthcare services. The review finds that the concept of champions is a broad one and finds varied definitio…","author":[{"dropping-particle":"","family":"Pettersen","given":"Sissel","non-dropping-particle":"","parse-names":false,"suffix":""},{"dropping-particle":"","family":"Eide","given":"Hilde","non-dropping-particle":"","parse-names":false,"suffix":""},{"dropping-particle":"","family":"Berg","given":"Anita","non-dropping-particle":"","parse-names":false,"suffix":""}],"container-title":"BMC Health Services Research","id":"ITEM-1","issue":"1","issued":{"date-parts":[["2024"]]},"page":"1-16","title":"The role of champions in the implementation of technology in healthcare services: a systematic mixed studies review","type":"article-journal","volume":"24"},"uris":["http://www.mendeley.com/documents/?uuid=7b890a38-59e3-4758-a51a-21b0b50dc1fc"]}],"mendeley":{"formattedCitation":"(Pettersen et al., 2024)","plainTextFormattedCitation":"(Pettersen et al., 2024)","previouslyFormattedCitation":"(Pettersen et al., 2024)"},"properties":{"noteIndex":0},"schema":"https://github.com/citation-style-language/schema/raw/master/csl-citation.json"}</w:instrText>
      </w:r>
      <w:r w:rsidRPr="009E5DBF">
        <w:rPr>
          <w:rFonts w:ascii="Book Antiqua" w:hAnsi="Book Antiqua"/>
          <w:sz w:val="24"/>
          <w:szCs w:val="24"/>
        </w:rPr>
        <w:fldChar w:fldCharType="separate"/>
      </w:r>
      <w:r w:rsidRPr="009E5DBF">
        <w:rPr>
          <w:rFonts w:ascii="Book Antiqua" w:hAnsi="Book Antiqua"/>
          <w:noProof/>
          <w:sz w:val="24"/>
          <w:szCs w:val="24"/>
        </w:rPr>
        <w:t>(Pettersen et al., 2024)</w:t>
      </w:r>
      <w:r w:rsidRPr="009E5DBF">
        <w:rPr>
          <w:rFonts w:ascii="Book Antiqua" w:hAnsi="Book Antiqua"/>
          <w:sz w:val="24"/>
          <w:szCs w:val="24"/>
        </w:rPr>
        <w:fldChar w:fldCharType="end"/>
      </w:r>
      <w:r w:rsidRPr="009E5DBF">
        <w:rPr>
          <w:rFonts w:ascii="Book Antiqua" w:hAnsi="Book Antiqua"/>
          <w:sz w:val="24"/>
          <w:szCs w:val="24"/>
        </w:rPr>
        <w:t xml:space="preserve">. Champion </w:t>
      </w:r>
      <w:proofErr w:type="spellStart"/>
      <w:r w:rsidRPr="009E5DBF">
        <w:rPr>
          <w:rFonts w:ascii="Book Antiqua" w:hAnsi="Book Antiqua"/>
          <w:sz w:val="24"/>
          <w:szCs w:val="24"/>
        </w:rPr>
        <w:t>adalah</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individu</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memelopori</w:t>
      </w:r>
      <w:proofErr w:type="spellEnd"/>
      <w:r w:rsidRPr="009E5DBF">
        <w:rPr>
          <w:rFonts w:ascii="Book Antiqua" w:hAnsi="Book Antiqua"/>
          <w:sz w:val="24"/>
          <w:szCs w:val="24"/>
        </w:rPr>
        <w:t xml:space="preserve"> dan </w:t>
      </w:r>
      <w:proofErr w:type="spellStart"/>
      <w:r w:rsidRPr="009E5DBF">
        <w:rPr>
          <w:rFonts w:ascii="Book Antiqua" w:hAnsi="Book Antiqua"/>
          <w:sz w:val="24"/>
          <w:szCs w:val="24"/>
        </w:rPr>
        <w:t>memandu</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perubahan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mendapatkan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sumber</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daya</w:t>
      </w:r>
      <w:proofErr w:type="spellEnd"/>
      <w:r w:rsidRPr="009E5DBF">
        <w:rPr>
          <w:rFonts w:ascii="Book Antiqua" w:hAnsi="Book Antiqua"/>
          <w:sz w:val="24"/>
          <w:szCs w:val="24"/>
        </w:rPr>
        <w:t xml:space="preserve">, dan </w:t>
      </w:r>
      <w:proofErr w:type="spellStart"/>
      <w:r w:rsidRPr="009E5DBF">
        <w:rPr>
          <w:rFonts w:ascii="Book Antiqua" w:hAnsi="Book Antiqua"/>
          <w:sz w:val="24"/>
          <w:szCs w:val="24"/>
        </w:rPr>
        <w:t>membentuk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koalisi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organisasi</w:t>
      </w:r>
      <w:proofErr w:type="spellEnd"/>
      <w:r w:rsidRPr="009E5DBF">
        <w:rPr>
          <w:rFonts w:ascii="Book Antiqua" w:hAnsi="Book Antiqua"/>
          <w:sz w:val="24"/>
          <w:szCs w:val="24"/>
        </w:rPr>
        <w:t xml:space="preserve"> </w:t>
      </w:r>
      <w:r w:rsidRPr="009E5DBF">
        <w:rPr>
          <w:rFonts w:ascii="Book Antiqua" w:hAnsi="Book Antiqua"/>
          <w:sz w:val="24"/>
          <w:szCs w:val="24"/>
          <w:lang w:val="sv-SE"/>
        </w:rPr>
        <w:fldChar w:fldCharType="begin" w:fldLock="1"/>
      </w:r>
      <w:r w:rsidRPr="009E5DBF">
        <w:rPr>
          <w:rFonts w:ascii="Book Antiqua" w:hAnsi="Book Antiqua"/>
          <w:sz w:val="24"/>
          <w:szCs w:val="24"/>
        </w:rPr>
        <w:instrText>ADDIN CSL_CITATION {"citationItems":[{"id":"ITEM-1","itemData":{"URL":"https://nhsaccelerator.com/news-item/nhs-innovation-accelerator-launches-search-for-innovators-with-ambitions-to-transform-healthcare-delivery/","author":[{"dropping-particle":"","family":"NHS Innovation Accelerator Team","given":"","non-dropping-particle":"","parse-names":false,"suffix":""}],"container-title":"NHS Innovation Accelerator","id":"ITEM-1","issued":{"date-parts":[["2023"]]},"title":"NHS Innovation Accelerator meluncurkan pencarian inovator dengan ambisi untuk mengubah pemberian layanan kesehatan","type":"webpage"},"uris":["http://www.mendeley.com/documents/?uuid=30b3896a-b765-447a-8569-1275a7cf5349"]}],"mendeley":{"formattedCitation":"(NHS Innovation Accelerator Team, 2023)","plainTextFormattedCitation":"(NHS Innovation Accelerator Team, 2023)","previouslyFormattedCitation":"(NHS Innovation Accelerator Team, 2023)"},"properties":{"noteIndex":0},"schema":"https://github.com/citation-style-language/schema/raw/master/csl-citation.json"}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rPr>
        <w:t>(NHS Innovation Accelerator Team, 2023)</w:t>
      </w:r>
      <w:r w:rsidRPr="009E5DBF">
        <w:rPr>
          <w:rFonts w:ascii="Book Antiqua" w:hAnsi="Book Antiqua"/>
          <w:sz w:val="24"/>
          <w:szCs w:val="24"/>
          <w:lang w:val="sv-SE"/>
        </w:rPr>
        <w:fldChar w:fldCharType="end"/>
      </w:r>
      <w:r w:rsidRPr="009E5DBF">
        <w:rPr>
          <w:rFonts w:ascii="Book Antiqua" w:hAnsi="Book Antiqua"/>
          <w:sz w:val="24"/>
          <w:szCs w:val="24"/>
        </w:rPr>
        <w:t xml:space="preserve">. </w:t>
      </w:r>
      <w:r w:rsidRPr="009E5DBF">
        <w:rPr>
          <w:rFonts w:ascii="Book Antiqua" w:hAnsi="Book Antiqua"/>
          <w:sz w:val="24"/>
          <w:szCs w:val="24"/>
          <w:lang w:val="sv-SE"/>
        </w:rPr>
        <w:t xml:space="preserve">Peran mereka penting karena mampu mengatasi hambatan organisasi dan memfasilitasi adopsi inovasi yang meningkatkan kualitas layanan kesehatan </w:t>
      </w:r>
      <w:r w:rsidRPr="009E5DBF">
        <w:rPr>
          <w:rFonts w:ascii="Book Antiqua" w:hAnsi="Book Antiqua"/>
          <w:sz w:val="24"/>
          <w:szCs w:val="24"/>
        </w:rPr>
        <w:fldChar w:fldCharType="begin" w:fldLock="1"/>
      </w:r>
      <w:r w:rsidRPr="009E5DBF">
        <w:rPr>
          <w:rFonts w:ascii="Book Antiqua" w:hAnsi="Book Antiqua"/>
          <w:sz w:val="24"/>
          <w:szCs w:val="24"/>
          <w:lang w:val="sv-SE"/>
        </w:rPr>
        <w:instrText>ADDIN CSL_CITATION {"citationItems":[{"id":"ITEM-1","itemData":{"author":[{"dropping-particle":"","family":"NHS Innovation Accelerator Team","given":"","non-dropping-particle":"","parse-names":false,"suffix":""}],"id":"ITEM-1","issued":{"date-parts":[["2024"]]},"page":"1-15","title":"NIA Guide for applicants 2024 Intake 3","type":"article-journal"},"uris":["http://www.mendeley.com/documents/?uuid=008252eb-3dd0-424d-aa56-0af199b28cac"]},{"id":"ITEM-2","itemData":{"DOI":"10.3389/frhs.2022.896885","ISSN":"28130146","abstract":"Background: The clinical champion approach is a highly utilized implementation strategy used to mitigate barriers and improve outcomes of implementation efforts. Clinical champions are particularly effective at addressing provider-level barriers and promoting provider-behavior change. Yet, the specific causal pathways that explain how clinical champions impact provider behavior change have not been well-explicated. The current paper applies behavior change models to develop potential causal pathway mechanisms. Methods: The proposed mechanisms are informed by previous literature involving clinical champions and empirically supported behavior change models. These models are applied to link specific attributes to different stages of behavior change and barriers for providers. Results: Two unique pathway mechanisms were developed, one that explicates how providers develop intention to use EBPs, while the other explicates how providers transition to EBP use and sustainment. Clinical champions may promote intention development through behavioral modeling and peer buy-in. In contrast, champions promote behavioral enactment through skill building and peer mentorship. Conclusion: Clinical champions likely play a critical role in reducing provider implementation barriers for providers across various phases of behavior change. The proposed pathways provide potential explanations for how clinical champions promote provider behavior change. Future research should prioritize empirically testing causal pathway mechanisms.","author":[{"dropping-particle":"","family":"Morena","given":"Alexandra L.","non-dropping-particle":"","parse-names":false,"suffix":""},{"dropping-particle":"","family":"Gaias","given":"Larissa M.","non-dropping-particle":"","parse-names":false,"suffix":""},{"dropping-particle":"","family":"Larkin","given":"Celine","non-dropping-particle":"","parse-names":false,"suffix":""}],"container-title":"Frontiers in Health Services","id":"ITEM-2","issue":"July","issued":{"date-parts":[["2022"]]},"page":"1-14","title":"Understanding the Role of Clinical Champions and Their Impact on Clinician Behavior Change: The Need for Causal Pathway Mechanisms","type":"article-journal","volume":"2"},"uris":["http://www.mendeley.com/documents/?uuid=73bf78cf-580b-4697-a146-fb90ff70c93f"]}],"mendeley":{"formattedCitation":"(Morena et al., 2022; NHS Innovation Accelerator Team, 2024)","plainTextFormattedCitation":"(Morena et al., 2022; NHS Innovation Accelerator Team, 2024)","previouslyFormattedCitation":"(Morena et al., 2022; NHS Innovation Accelerator Team, 2024)"},"properties":{"noteIndex":0},"schema":"https://github.com/citation-style-language/schema/raw/master/csl-citation.json"}</w:instrText>
      </w:r>
      <w:r w:rsidRPr="009E5DBF">
        <w:rPr>
          <w:rFonts w:ascii="Book Antiqua" w:hAnsi="Book Antiqua"/>
          <w:sz w:val="24"/>
          <w:szCs w:val="24"/>
        </w:rPr>
        <w:fldChar w:fldCharType="separate"/>
      </w:r>
      <w:r w:rsidRPr="009E5DBF">
        <w:rPr>
          <w:rFonts w:ascii="Book Antiqua" w:hAnsi="Book Antiqua"/>
          <w:noProof/>
          <w:sz w:val="24"/>
          <w:szCs w:val="24"/>
          <w:lang w:val="sv-SE"/>
        </w:rPr>
        <w:t>(Morena et al., 2022; NHS Innovation Accelerator Team, 2024)</w:t>
      </w:r>
      <w:r w:rsidRPr="009E5DBF">
        <w:rPr>
          <w:rFonts w:ascii="Book Antiqua" w:hAnsi="Book Antiqua"/>
          <w:sz w:val="24"/>
          <w:szCs w:val="24"/>
        </w:rPr>
        <w:fldChar w:fldCharType="end"/>
      </w:r>
      <w:r w:rsidRPr="009E5DBF">
        <w:rPr>
          <w:rFonts w:ascii="Book Antiqua" w:hAnsi="Book Antiqua"/>
          <w:sz w:val="24"/>
          <w:szCs w:val="24"/>
          <w:lang w:val="sv-SE"/>
        </w:rPr>
        <w:t xml:space="preserve">. Kehadiran champion dapat meningkatkan keberhasilan implementasi hingga 20% lebih tinggi dibandingkan proyek tanpa champion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{"citationItems":[{"id":"ITEM-1","itemData":{"DOI":"10.1186/s43058-022-00315-0","ISSN":"26622211","PMID":"35869516","abstract":"Background: Champions have been documented in the literature as an important strategy for implementation, yet their effectiveness has not been well synthesized in the health care literature. The aim of this systematic review was to determine whether champions, tested in isolation from other implementation strategies, are effective at improving innovation use or outcomes in health care. Methods: The JBI systematic review method guided this study. A peer-reviewed search strategy was applied to eight electronic databases to identify relevant articles. We included all published articles and unpublished theses and dissertations that used a quantitative study design to evaluate the effectiveness of champions in implementing innovations within health care settings. Two researchers independently completed study selection, data extraction, and quality appraisal. We used content analysis and vote counting to synthesize our data. Results: After screening 7566 records titles and abstracts and 2090 full text articles, we included 35 studies in our review. Most of the studies (71.4%) operationalized the champion strategy by the presence or absence of a champion. In a subset of seven studies, five studies found associations between exposure to champions and increased use of best practices, programs, or technological innovations at an organizational level. In other subsets, the evidence pertaining to use of champions and innovation use by patients or providers, or at improving outcomes was either mixed or scarce. Conclusions: We identified a small body of literature reporting an association between use of champions and increased instrumental use of innovations by organizations. However, more research is needed to determine causal relationship between champions and innovation use and outcomes. Even though there are no reported adverse effects in using champions, opportunity costs may be associated with their use. Until more evidence becomes available about the effectiveness of champions at increasing innovation use and outcomes, the decision to deploy champions should consider the needs and resources of the organization and include an evaluation plan. To further our understanding of champions’ effectiveness, future studies should (1) use experimental study designs in conjunction with process evaluations, (2) describe champions and their activities and (3) rigorously evaluate the effectiveness of champions’ activities. Registration: Open Science Framework (https://osf.io…","author":[{"dropping-particle":"","family":"Santos","given":"Wilmer J.","non-dropping-particle":"","parse-names":false,"suffix":""},{"dropping-particle":"","family":"Graham","given":"Ian D.","non-dropping-particle":"","parse-names":false,"suffix":""},{"dropping-particle":"","family":"Lalonde","given":"Michelle","non-dropping-particle":"","parse-names":false,"suffix":""},{"dropping-particle":"","family":"Demery Varin","given":"Melissa","non-dropping-particle":"","parse-names":false,"suffix":""},{"dropping-particle":"","family":"Squires","given":"Janet E.","non-dropping-particle":"","parse-names":false,"suffix":""}],"container-title":"Implementation Science Communications","id":"ITEM-1","issue":"1","issued":{"date-parts":[["2022"]]},"page":"1-48","publisher":"BioMed Central","title":"The effectiveness of champions in implementing innovations in health care: a systematic review","type":"article-journal","volume":"3"},"uris":["http://www.mendeley.com/documents/?uuid=e54b0df4-e359-4932-ad77-ae77bf5f9afd"]}],"mendeley":{"formattedCitation":"(Santos et al., 2022)","plainTextFormattedCitation":"(Santos et al., 2022)","previouslyFormattedCitation":"(Santos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(Santos et al., 2022)</w:t>
      </w:r>
      <w:r w:rsidRPr="009E5DBF">
        <w:rPr>
          <w:rFonts w:ascii="Book Antiqua" w:hAnsi="Book Antiqua"/>
          <w:sz w:val="24"/>
          <w:szCs w:val="24"/>
          <w:lang w:val="sv-SE"/>
        </w:rPr>
        <w:fldChar w:fldCharType="end"/>
      </w:r>
      <w:r w:rsidRPr="009E5DBF">
        <w:rPr>
          <w:rFonts w:ascii="Book Antiqua" w:hAnsi="Book Antiqua"/>
          <w:sz w:val="24"/>
          <w:szCs w:val="24"/>
          <w:lang w:val="sv-SE"/>
        </w:rPr>
        <w:t>. Namun, keberhasilan champion bervariasi; beberapa inisiatif mencapai hasil sangat baik, sementara yang lain tidak. Misalnya, inisiatif yang dipimpin oleh champion dapat mengurangi waktu tunggu pasien hingga 15%, dibandingkan pengurangan 5% pada inisiatif serupa tanpa champion.</w:t>
      </w:r>
    </w:p>
    <w:p w14:paraId="10D4088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Pemahaman yang lebih mendalam mengenai siapa yang mempelopori inisiatif implementasi, bagaimana dan mengapa para pemimpin ini berhasil, serta keadaan di mana para pemimpin ini berkembang, semuanya dapat berkontribusi pada upaya yang lebih bermanfaat untuk menemukan dan mengembangkan pendukung perubahan yang efektif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{"citationItems":[{"id":"ITEM-1","itemData":{"DOI":"10.1016/j.contraception.2021.12.005","ISSN":"18790518","PMID":"34971605","abstract":"Objectives: Multiple barriers limit access to the full range of contraceptive options. The purpose of this quality improvement initiative was to increase single-visit access to the full range of contraceptive methods in primary care, postabortion, and immediate postpartum settings in New York City (NYC). Study Design: From 2015 to 2018 we convened 2 learning collaboratives, named the Quality Improvement Network for Contraceptive Access, with 17 teams (representing 40 sites) from New York City-based hospitals and health centers using an adaptation of the Institute for Healthcare Improvement's Breakthrough Series Learning Collaborative model. Participating teams sought to implement evidence-informed recommendations to increase access. The goal was to increase the patient-centeredness of services by reducing barriers. In the absence of a way to directly measure access, we measured progress toward implementation of the 4 recommendations and contraceptive care utilization measures as proxies for access, and asked teams to describe facilitating factors. Results: Learning collaborative teams successfully implemented all 4 of the recommendations in 95% of the participating sites. Patients who chose and received a most or moderately effective method increased from 22% to 38% in primary care, and from 0% to 17% in the immediate postpartum period. Patients who chose and received a long-acting-reversible contraceptive increased from 5% to 11% in primary care, and from 0% to 3% in immediate postpartum. Facilitating factors included the involvement of interdisciplinary teams, consideration of costs, utilization of peers to demonstrate change, and champions to drive change. Conclusions: The application of evidence-informed recommendations using a structured quality improvement initiative increases contraceptive access. Implications: This paper identifies key facilitators and factors that influenced the successful implementation of evidence-based recommendations for access to the full range of contraceptive methods in primary care, postabortion, and immediate postpartum settings. Findings can inform future initiatives that seek to increase contraceptive access at the service delivery level, as a component of reproductive autonomy, and contraceptive equity.","author":[{"dropping-particle":"","family":"Kawatu","given":"Jennifer","non-dropping-particle":"","parse-names":false,"suffix":""},{"dropping-particle":"","family":"Clark","given":"Michele","non-dropping-particle":"","parse-names":false,"suffix":""},{"dropping-particle":"","family":"Saul","given":"Katie","non-dropping-particle":"","parse-names":false,"suffix":""},{"dropping-particle":"","family":"Quimby","given":"Katie De Angelis","non-dropping-particle":"","parse-names":false,"suffix":""},{"dropping-particle":"","family":"Whitten","given":"Alzen","non-dropping-particle":"","parse-names":false,"suffix":""},{"dropping-particle":"","family":"Nelson","given":"Sharifa","non-dropping-particle":"","parse-names":false,"suffix":""},{"dropping-particle":"","family":"Potter","given":"Kimberly","non-dropping-particle":"","parse-names":false,"suffix":""},{"dropping-particle":"","family":"Kaplan","given":"Deborah L.","non-dropping-particle":"","parse-names":false,"suffix":""}],"container-title":"Contraception","id":"ITEM-1","issued":{"date-parts":[["2022"]]},"note":"Cited By (since 2022): 5","page":"25-31","title":"Increasing access to single-visit contraception in urban health care settings: Findings from a multi-site learning collaborative","type":"article-journal","volume":"108"},"uris":["http://www.mendeley.com/documents/?uuid=5f702c08-c78e-4582-a5dd-9eb21eb54d3c"]},{"id":"ITEM-2","itemData":{"DOI":"10.2147/IJWH.S370012","ISSN":"11791411","abstract":"Objective: This study sought to identify the factors that act as barriers and facilitators to developing and implementing Immediate postpartum (IPP) insertion of contraceptive implants service according to the Consolidated Framework for Implementation Research (CFIR). Methods: We conducted in-depth interviews and focus group discussions to explore IPP contraceptive implantation programs implemented in community, regional, and university hospitals in Thailand. The CFIR was used to guide the data collection and analyses. Results: All CFIR domains were found to have an impact on planning and implementation. Out of 38 constructs, nine were identified as either barriers or facilitators, and four were determined to be both. Barriers included an insufficient training budget, lack of policy to support non-teenagers, disconnect among organizations, and lack of knowledge on the part of the clients. Facilitators included the relative advantage of implants over other contraceptive methods, reimbursement policy, laws that promote teenage autonomy, setting IPP implants as a key performance indicator (KPI), identifying project champions, and educating clients through antenatal counseling or multimedia intervention. Conclusion: Barriers and facilitators to the successful implementation of an IPP contraceptive implant program were identified. In order to successfully implement this service, modifiable barriers should be overcome and facilitators should be strengthened. Strategies tailored to the local context should be developed to ensure the sustainability of the program. Educating clients is crucial and need both hospital-and community interventions.","author":[{"dropping-particle":"","family":"Sothornwit","given":"Jen","non-dropping-particle":"","parse-names":false,"suffix":""},{"dropping-particle":"","family":"Lumbiganon","given":"Pisake","non-dropping-particle":"","parse-names":false,"suffix":""},{"dropping-particle":"","family":"Singhdaeng","given":"Kesinee Saranrittichai Thanyarat","non-dropping-particle":"","parse-names":false,"suffix":""},{"dropping-particle":"","family":"Jampathong","given":"Nampet","non-dropping-particle":"","parse-names":false,"suffix":""},{"dropping-particle":"","family":"Sangkomkamhang","given":"Ussanee","non-dropping-particle":"","parse-names":false,"suffix":""}],"container-title":"International Journal of Women's Health","id":"ITEM-2","issued":{"date-parts":[["2022"]]},"note":"Cited By (since 2022): 3","page":"945-956","title":"Barriers and Facilitators to Implementing Immediate Postpartum Contraceptive Implant Programs: A Formative Implementation Research","type":"article-journal","volume":"14"},"uris":["http://www.mendeley.com/documents/?uuid=d5d3f274-bd3e-4f96-82f2-0906881f4eab"]},{"id":"ITEM-3","itemData":{"DOI":"10.1136/bmjsrh-2021-201170","ISSN":"25152009","PMID":"34187901","abstract":"Background Immediate postpartum intrauterine device (PPIUD) insertion is safe and effective but largely unavailable in Europe. Data on maternity staff views on the provision and implementation of PPIUD services are limited. The objective of this qualitative evaluation was to explore the views and experiences of obstetricians and midwives providing PPIUD within a UK maternity setting, in order to identify areas for improvement and inform service provision in other areas. Methods Qualitative health services research within two public maternity hospitals in Lothian (Edinburgh and surrounding region), UK. Interviews with 30 maternity staff (obstetricians n=8; midwives n=22) involved in PPIUD provision. Data were analysed thematically. Results Maternity staff were positive about the benefits of PPIUD for women. Midwives reported initial concerns about PPIUD safety, and the impact on workload; these views shifted following training, and as PPIUD was embedded into practice. Having a large pool of PPIUD-trained staff was identified as an important factor in successful service implementation. Having PPIUD 'champions' was important to address staff concerns, encourage training uptake, and advocate for the service to ensure continued resourcing. Conclusions PPIUD in maternity services can help address unmet need for effective contraception in the immediate postpartum period. We emphasise the importance of widespread engagement around PPIUD among all healthcare professionals involved in the care of women, to ensure staff are informed and supported. Clinical champions and leaders play a key role in amplifying the benefits of PPIUD, and advancing organisational learning.","author":[{"dropping-particle":"","family":"Boydell","given":"Nicola","non-dropping-particle":"","parse-names":false,"suffix":""},{"dropping-particle":"","family":"Cooper","given":"Michelle","non-dropping-particle":"","parse-names":false,"suffix":""},{"dropping-particle":"","family":"Cameron","given":"Sharon T.","non-dropping-particle":"","parse-names":false,"suffix":""},{"dropping-particle":"","family":"Glasier","given":"Anna","non-dropping-particle":"","parse-names":false,"suffix":""},{"dropping-particle":"","family":"Coutts","given":"Shiona","non-dropping-particle":"","parse-names":false,"suffix":""},{"dropping-particle":"","family":"McGuire","given":"Frances","non-dropping-particle":"","parse-names":false,"suffix":""},{"dropping-particle":"","family":"Harden","given":"Jeni","non-dropping-particle":"","parse-names":false,"suffix":""}],"container-title":"BMJ Sexual and Reproductive Health","id":"ITEM-3","issue":"2","issued":{"date-parts":[["2022"]]},"note":"Cited By (since 2022): 3","page":"85-92","title":"Perspectives of obstetricians and midwives on the provision of immediate postpartum intrauterine devices: a qualitative service evaluation","type":"article-journal","volume":"48"},"uris":["http://www.mendeley.com/documents/?uuid=31b279c1-0bb8-4d8f-a379-1f0134301f8c"]}],"mendeley":{"formattedCitation":"(Boydell et al., 2022; Kawatu et al., 2022; Sothornwit et al., 2022)","plainTextFormattedCitation":"(Boydell et al., 2022; Kawatu et al., 2022; Sothornwit et al., 2022)","previouslyFormattedCitation":"(Boydell et al., 2022; Kawatu et al., 2022; Sothornwit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(Boydell et al., 2022; Kawatu et al., 2022; Sothornwit et al., 2022)</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Sebagian besar literatur yang ada saat ini dikhususkan untuk </w:t>
      </w:r>
      <w:proofErr w:type="gramStart"/>
      <w:r w:rsidRPr="009E5DBF">
        <w:rPr>
          <w:rFonts w:ascii="Book Antiqua" w:hAnsi="Book Antiqua"/>
          <w:sz w:val="24"/>
          <w:szCs w:val="24"/>
          <w:lang w:val="sv-SE"/>
        </w:rPr>
        <w:t>taktik dan</w:t>
      </w:r>
      <w:proofErr w:type="gramEnd"/>
      <w:r w:rsidRPr="009E5DBF">
        <w:rPr>
          <w:rFonts w:ascii="Book Antiqua" w:hAnsi="Book Antiqua"/>
          <w:sz w:val="24"/>
          <w:szCs w:val="24"/>
          <w:lang w:val="sv-SE"/>
        </w:rPr>
        <w:t xml:space="preserve"> alat yang digunakan oleh para pemimpin yang sukses. Karakteristik orang-orang yang berhasil memimpin upaya implementasi tidak </w:t>
      </w:r>
      <w:r w:rsidRPr="009E5DBF">
        <w:rPr>
          <w:rFonts w:ascii="Book Antiqua" w:hAnsi="Book Antiqua"/>
          <w:sz w:val="24"/>
          <w:szCs w:val="24"/>
          <w:lang w:val="sv-SE"/>
        </w:rPr>
        <w:lastRenderedPageBreak/>
        <w:t xml:space="preserve">dipahami dengan baik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{"citationItems":[{"id":"ITEM-1","itemData":{"DOI":"10.1186/s43058-024-00557-0","ISSN":"26622211","abstract":"Background: Implementation science researchers often cite clinical champions as critical to overcoming organizational resistance and other barriers to the implementation of evidence-based health services, yet relatively little is known about who champions are or how they effect change. To inform future efforts to identify and engage champions to support HPV vaccination, we sought to describe the key characteristics and strategies of vaccine champions working in adolescent primary care. Methods: In 2022, we conducted a national survey with a web-based panel of 2527 primary care professionals (PCPs) with a role in adolescent HPV vaccination (57% response rate). Our sample consisted of pediatricians (26%), family medicine physicians (22%), advanced practice providers (24%), and nursing staff (28%). Our survey assessed PCPs’ experience with vaccine champions, defined as health care professionals “known for helping their colleagues improve vaccination rates.” Results: Overall, 85% of PCPs reported currently working with one or more vaccine champions. Among these 2144 PCPs, most identified the champion with whom they worked most closely as being a physician (40%) or nurse (40%). Almost all identified champions worked to improve vaccination rates for vaccines in general (45%) or HPV vaccine specifically (49%). PCPs commonly reported that champion implementation strategies included sharing information (79%), encouragement (62%), and vaccination data (59%) with colleagues, but less than half reported that champions led quality improvement projects (39%). Most PCPs perceived their closest champion as being moderately to extremely effective at improving vaccination rates (91%). PCPs who did versus did not work with champions more often recommended HPV vaccination at the earliest opportunity of ages 9–10 rather than later ages (44% vs. 33%, p &lt; 0.001). Conclusions: Findings of our national study suggest that vaccine champions are common in adolescent primary care, but only a minority lead quality improvement projects. Interventionists seeking to identify champions to improve HPV vaccination rates can expect to find them among both physicians and nurses, but should be prepared to offer support to more fully engage them in implementing interventions.","author":[{"dropping-particle":"","family":"Brewington","given":"Micaela K.","non-dropping-particle":"","parse-names":false,"suffix":""},{"dropping-particle":"","family":"Queen","given":"Tara L.","non-dropping-particle":"","parse-names":false,"suffix":""},{"dropping-particle":"","family":"Heisler-MacKinnon","given":"Jennifer","non-dropping-particle":"","parse-names":false,"suffix":""},{"dropping-particle":"","family":"Calo","given":"William A.","non-dropping-particle":"","parse-names":false,"suffix":""},{"dropping-particle":"","family":"Weaver","given":"Sandra","non-dropping-particle":"","parse-names":false,"suffix":""},{"dropping-particle":"","family":"Barry","given":"Chris","non-dropping-particle":"","parse-names":false,"suffix":""},{"dropping-particle":"","family":"Kong","given":"Wei Yi","non-dropping-particle":"","parse-names":false,"suffix":""},{"dropping-particle":"","family":"Kennedy","given":"Kathryn L.","non-dropping-particle":"","parse-names":false,"suffix":""},{"dropping-particle":"","family":"Shea","given":"Christopher M.","non-dropping-particle":"","parse-names":false,"suffix":""},{"dropping-particle":"","family":"Gilkey","given":"Melissa B.","non-dropping-particle":"","parse-names":false,"suffix":""}],"container-title":"Implementation Science Communications","id":"ITEM-1","issue":"1","issued":{"date-parts":[["2024"]]},"note":"Cited By (since 2024): 1","title":"Who are vaccine champions and what implementation strategies do they use to improve adolescent HPV vaccination? Findings from a national survey of primary care professionals","type":"article-journal","volume":"5"},"uris":["http://www.mendeley.com/documents/?uuid=ec981a7e-98c0-4c6e-b2da-edbcee7dc169"]}],"mendeley":{"formattedCitation":"(Brewington et al., 2024)","plainTextFormattedCitation":"(Brewington et al., 2024)","previouslyFormattedCitation":"(Brewington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(Brewington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Selain itu, banyak penelitian yang telah dilakukan mengoperasionalkan istilah "champion" sebagai variabel biner yang bisa ada atau tidak ada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{"citationItems":[{"id":"ITEM-1","itemData":{"DOI":"10.2147/IJWH.S370012","ISSN":"11791411","abstract":"Objective: This study sought to identify the factors that act as barriers and facilitators to developing and implementing Immediate postpartum (IPP) insertion of contraceptive implants service according to the Consolidated Framework for Implementation Research (CFIR). Methods: We conducted in-depth interviews and focus group discussions to explore IPP contraceptive implantation programs implemented in community, regional, and university hospitals in Thailand. The CFIR was used to guide the data collection and analyses. Results: All CFIR domains were found to have an impact on planning and implementation. Out of 38 constructs, nine were identified as either barriers or facilitators, and four were determined to be both. Barriers included an insufficient training budget, lack of policy to support non-teenagers, disconnect among organizations, and lack of knowledge on the part of the clients. Facilitators included the relative advantage of implants over other contraceptive methods, reimbursement policy, laws that promote teenage autonomy, setting IPP implants as a key performance indicator (KPI), identifying project champions, and educating clients through antenatal counseling or multimedia intervention. Conclusion: Barriers and facilitators to the successful implementation of an IPP contraceptive implant program were identified. In order to successfully implement this service, modifiable barriers should be overcome and facilitators should be strengthened. Strategies tailored to the local context should be developed to ensure the sustainability of the program. Educating clients is crucial and need both hospital-and community interventions.","author":[{"dropping-particle":"","family":"Sothornwit","given":"Jen","non-dropping-particle":"","parse-names":false,"suffix":""},{"dropping-particle":"","family":"Lumbiganon","given":"Pisake","non-dropping-particle":"","parse-names":false,"suffix":""},{"dropping-particle":"","family":"Singhdaeng","given":"Kesinee Saranrittichai Thanyarat","non-dropping-particle":"","parse-names":false,"suffix":""},{"dropping-particle":"","family":"Jampathong","given":"Nampet","non-dropping-particle":"","parse-names":false,"suffix":""},{"dropping-particle":"","family":"Sangkomkamhang","given":"Ussanee","non-dropping-particle":"","parse-names":false,"suffix":""}],"container-title":"International Journal of Women's Health","id":"ITEM-1","issued":{"date-parts":[["2022"]]},"note":"Cited By (since 2022): 3","page":"945-956","title":"Barriers and Facilitators to Implementing Immediate Postpartum Contraceptive Implant Programs: A Formative Implementation Research","type":"article-journal","volume":"14"},"uris":["http://www.mendeley.com/documents/?uuid=d5d3f274-bd3e-4f96-82f2-0906881f4eab"]},{"id":"ITEM-2","itemData":{"DOI":"10.1136/bmjsrh-2021-201170","ISSN":"25152009","PMID":"34187901","abstract":"Background Immediate postpartum intrauterine device (PPIUD) insertion is safe and effective but largely unavailable in Europe. Data on maternity staff views on the provision and implementation of PPIUD services are limited. The objective of this qualitative evaluation was to explore the views and experiences of obstetricians and midwives providing PPIUD within a UK maternity setting, in order to identify areas for improvement and inform service provision in other areas. Methods Qualitative health services research within two public maternity hospitals in Lothian (Edinburgh and surrounding region), UK. Interviews with 30 maternity staff (obstetricians n=8; midwives n=22) involved in PPIUD provision. Data were analysed thematically. Results Maternity staff were positive about the benefits of PPIUD for women. Midwives reported initial concerns about PPIUD safety, and the impact on workload; these views shifted following training, and as PPIUD was embedded into practice. Having a large pool of PPIUD-trained staff was identified as an important factor in successful service implementation. Having PPIUD 'champions' was important to address staff concerns, encourage training uptake, and advocate for the service to ensure continued resourcing. Conclusions PPIUD in maternity services can help address unmet need for effective contraception in the immediate postpartum period. We emphasise the importance of widespread engagement around PPIUD among all healthcare professionals involved in the care of women, to ensure staff are informed and supported. Clinical champions and leaders play a key role in amplifying the benefits of PPIUD, and advancing organisational learning.","author":[{"dropping-particle":"","family":"Boydell","given":"Nicola","non-dropping-particle":"","parse-names":false,"suffix":""},{"dropping-particle":"","family":"Cooper","given":"Michelle","non-dropping-particle":"","parse-names":false,"suffix":""},{"dropping-particle":"","family":"Cameron","given":"Sharon T.","non-dropping-particle":"","parse-names":false,"suffix":""},{"dropping-particle":"","family":"Glasier","given":"Anna","non-dropping-particle":"","parse-names":false,"suffix":""},{"dropping-particle":"","family":"Coutts","given":"Shiona","non-dropping-particle":"","parse-names":false,"suffix":""},{"dropping-particle":"","family":"McGuire","given":"Frances","non-dropping-particle":"","parse-names":false,"suffix":""},{"dropping-particle":"","family":"Harden","given":"Jeni","non-dropping-particle":"","parse-names":false,"suffix":""}],"container-title":"BMJ Sexual and Reproductive Health","id":"ITEM-2","issue":"2","issued":{"date-parts":[["2022"]]},"note":"Cited By (since 2022): 3","page":"85-92","title":"Perspectives of obstetricians and midwives on the provision of immediate postpartum intrauterine devices: a qualitative service evaluation","type":"article-journal","volume":"48"},"uris":["http://www.mendeley.com/documents/?uuid=31b279c1-0bb8-4d8f-a379-1f0134301f8c"]}],"mendeley":{"formattedCitation":"(Boydell et al., 2022; Sothornwit et al., 2022)","plainTextFormattedCitation":"(Boydell et al., 2022; Sothornwit et al., 2022)","previouslyFormattedCitation":"(Boydell et al., 2022; Sothornwit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(Boydell et al., 2022; Sothornwit et al., 2022)</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Hal ini menyulitkan untuk melakukan analisis menyeluruh terhadap mekanisme yang mendasari pengaruh champion baik positif maupun negatif terhadap hasil implementasi dan mengabaikan kemungkinan adanya interaksi antara champion dan konteks organisasi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{"citationItems":[{"id":"ITEM-1","itemData":{"DOI":"10.1097/aog.0000000000005584","ISSN":"0029-7844","PMID":"38626452","abstract":" Single institution–level studies have demonstrated low postpartum permanent contraception fulfillment rates after vaginal birth. To explore the national scope of the problem, we collected cross-sectional survey data from faculty at 109 U.S. academic medical centers to elicit perceptions about postpartum permanent contraception practices after vaginal birth, including barriers to and changes in practice after the Dobbs v Jackson Women’s Health Organization decision, a decision that eliminated the U.S. federal protection of the right to abortion. Of 68 respondent institutions, 65 (95.6%) offered postpartum permanent contraception. A large majority (87.3%) perceived there to be a problem with postpartum permanent contraception fulfillment at their institution. Respondents at institutions with postpartum permanent contraception fulfillment rates in the bottom quartile used main operating rooms (66.7% vs 25.0% respectively, P =.032) and reported institutional culture barriers (86.7% vs 50.0%, respectively, P =.054) more frequently than respondents in the top quartile. Our national data indicate that health care culture changes and the use of labor and delivery operating rooms could increase postpartum permanent contraception fulfillment. ","author":[{"dropping-particle":"","family":"Murphy","given":"Ellen","non-dropping-particle":"","parse-names":false,"suffix":""},{"dropping-particle":"","family":"Pelletier","given":"Andrea","non-dropping-particle":"","parse-names":false,"suffix":""},{"dropping-particle":"","family":"Fay","given":"Kathryn","non-dropping-particle":"","parse-names":false,"suffix":""},{"dropping-particle":"","family":"Bartz","given":"Deborah","non-dropping-particle":"","parse-names":false,"suffix":""}],"container-title":"Obstetrics &amp; Gynecology","id":"ITEM-1","issue":"6","issued":{"date-parts":[["2024"]]},"page":"835-838","title":"National Postpartum Permanent Contraception Practices and Perceived Barriers","type":"article-journal","volume":"143"},"uris":["http://www.mendeley.com/documents/?uuid=ad1e636e-b3ed-4ea8-82f9-100954e7496a"]}],"mendeley":{"formattedCitation":"(Murphy et al., 2024)","plainTextFormattedCitation":"(Murphy et al., 2024)","previouslyFormattedCitation":"(Murphy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(Murphy et al., 2024)</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31590A8D"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Untuk mendapatkan pemahaman yang lebih baik tentang para champion, kami melihat bagaimana layanan kontrasepsi pascapersalinan harus segera diimplementasikan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{"citationItems":[{"id":"ITEM-1","itemData":{"DOI":"10.1136/bmjsrh-2021-201170","ISSN":"25152009","PMID":"34187901","abstract":"Background Immediate postpartum intrauterine device (PPIUD) insertion is safe and effective but largely unavailable in Europe. Data on maternity staff views on the provision and implementation of PPIUD services are limited. The objective of this qualitative evaluation was to explore the views and experiences of obstetricians and midwives providing PPIUD within a UK maternity setting, in order to identify areas for improvement and inform service provision in other areas. Methods Qualitative health services research within two public maternity hospitals in Lothian (Edinburgh and surrounding region), UK. Interviews with 30 maternity staff (obstetricians n=8; midwives n=22) involved in PPIUD provision. Data were analysed thematically. Results Maternity staff were positive about the benefits of PPIUD for women. Midwives reported initial concerns about PPIUD safety, and the impact on workload; these views shifted following training, and as PPIUD was embedded into practice. Having a large pool of PPIUD-trained staff was identified as an important factor in successful service implementation. Having PPIUD 'champions' was important to address staff concerns, encourage training uptake, and advocate for the service to ensure continued resourcing. Conclusions PPIUD in maternity services can help address unmet need for effective contraception in the immediate postpartum period. We emphasise the importance of widespread engagement around PPIUD among all healthcare professionals involved in the care of women, to ensure staff are informed and supported. Clinical champions and leaders play a key role in amplifying the benefits of PPIUD, and advancing organisational learning.","author":[{"dropping-particle":"","family":"Boydell","given":"Nicola","non-dropping-particle":"","parse-names":false,"suffix":""},{"dropping-particle":"","family":"Cooper","given":"Michelle","non-dropping-particle":"","parse-names":false,"suffix":""},{"dropping-particle":"","family":"Cameron","given":"Sharon T.","non-dropping-particle":"","parse-names":false,"suffix":""},{"dropping-particle":"","family":"Glasier","given":"Anna","non-dropping-particle":"","parse-names":false,"suffix":""},{"dropping-particle":"","family":"Coutts","given":"Shiona","non-dropping-particle":"","parse-names":false,"suffix":""},{"dropping-particle":"","family":"McGuire","given":"Frances","non-dropping-particle":"","parse-names":false,"suffix":""},{"dropping-particle":"","family":"Harden","given":"Jeni","non-dropping-particle":"","parse-names":false,"suffix":""}],"container-title":"BMJ Sexual and Reproductive Health","id":"ITEM-1","issue":"2","issued":{"date-parts":[["2022"]]},"note":"Cited By (since 2022): 3","page":"85-92","title":"Perspectives of obstetricians and midwives on the provision of immediate postpartum intrauterine devices: a qualitative service evaluation","type":"article-journal","volume":"48"},"uris":["http://www.mendeley.com/documents/?uuid=31b279c1-0bb8-4d8f-a379-1f0134301f8c"]},{"id":"ITEM-2","itemData":{"DOI":"10.1016/j.contraception.2021.12.005","ISSN":"18790518","PMID":"34971605","abstract":"Objectives: Multiple barriers limit access to the full range of contraceptive options. The purpose of this quality improvement initiative was to increase single-visit access to the full range of contraceptive methods in primary care, postabortion, and immediate postpartum settings in New York City (NYC). Study Design: From 2015 to 2018 we convened 2 learning collaboratives, named the Quality Improvement Network for Contraceptive Access, with 17 teams (representing 40 sites) from New York City-based hospitals and health centers using an adaptation of the Institute for Healthcare Improvement's Breakthrough Series Learning Collaborative model. Participating teams sought to implement evidence-informed recommendations to increase access. The goal was to increase the patient-centeredness of services by reducing barriers. In the absence of a way to directly measure access, we measured progress toward implementation of the 4 recommendations and contraceptive care utilization measures as proxies for access, and asked teams to describe facilitating factors. Results: Learning collaborative teams successfully implemented all 4 of the recommendations in 95% of the participating sites. Patients who chose and received a most or moderately effective method increased from 22% to 38% in primary care, and from 0% to 17% in the immediate postpartum period. Patients who chose and received a long-acting-reversible contraceptive increased from 5% to 11% in primary care, and from 0% to 3% in immediate postpartum. Facilitating factors included the involvement of interdisciplinary teams, consideration of costs, utilization of peers to demonstrate change, and champions to drive change. Conclusions: The application of evidence-informed recommendations using a structured quality improvement initiative increases contraceptive access. Implications: This paper identifies key facilitators and factors that influenced the successful implementation of evidence-based recommendations for access to the full range of contraceptive methods in primary care, postabortion, and immediate postpartum settings. Findings can inform future initiatives that seek to increase contraceptive access at the service delivery level, as a component of reproductive autonomy, and contraceptive equity.","author":[{"dropping-particle":"","family":"Kawatu","given":"Jennifer","non-dropping-particle":"","parse-names":false,"suffix":""},{"dropping-particle":"","family":"Clark","given":"Michele","non-dropping-particle":"","parse-names":false,"suffix":""},{"dropping-particle":"","family":"Saul","given":"Katie","non-dropping-particle":"","parse-names":false,"suffix":""},{"dropping-particle":"","family":"Quimby","given":"Katie De Angelis","non-dropping-particle":"","parse-names":false,"suffix":""},{"dropping-particle":"","family":"Whitten","given":"Alzen","non-dropping-particle":"","parse-names":false,"suffix":""},{"dropping-particle":"","family":"Nelson","given":"Sharifa","non-dropping-particle":"","parse-names":false,"suffix":""},{"dropping-particle":"","family":"Potter","given":"Kimberly","non-dropping-particle":"","parse-names":false,"suffix":""},{"dropping-particle":"","family":"Kaplan","given":"Deborah L.","non-dropping-particle":"","parse-names":false,"suffix":""}],"container-title":"Contraception","id":"ITEM-2","issued":{"date-parts":[["2022"]]},"note":"Cited By (since 2022): 5","page":"25-31","title":"Increasing access to single-visit contraception in urban health care settings: Findings from a multi-site learning collaborative","type":"article-journal","volume":"108"},"uris":["http://www.mendeley.com/documents/?uuid=5f702c08-c78e-4582-a5dd-9eb21eb54d3c"]}],"mendeley":{"formattedCitation":"(Boydell et al., 2022; Kawatu et al., 2022)","plainTextFormattedCitation":"(Boydell et al., 2022; Kawatu et al., 2022)","previouslyFormattedCitation":"(Boydell et al., 2022; Kawatu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(Boydell et al., 2022; Kawatu et al., 2022)</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Tampaknya para champion sangat penting dalam mempraktikkan metode berbasis bukti ini. Selama masa persalinan di puskesmas, kontrasepsi jangka panjang yang dapat dibalikkan (IUD) dipasang sebagai bagian dari kontrasepsi pascapersalinan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{"citationItems":[{"id":"ITEM-1","itemData":{"DOI":"10.1016/j.contraception.2018.12.003","ISSN":"18790518","PMID":"30576637","abstract":"Objective: To evaluate outcomes of a national postpartum (within 48 h of delivery) copper intrauterine device placement (PPCuIUD) program in six “high-focus states” with high unmet family planning need in India. Study design: We identified high-volume district hospitals that provided PPCuIUD in six (Bihar, Jharkhand, Uttar Pradesh, Uttarakhand, Madhya Pradesh and Chhattisgarh) Indian states (two per state). Each selected hospital maintained a list of PPCuIUD acceptors with contact phone numbers. We randomly selected 100 women at each site for inclusion in a telephone survey of IUD outcomes at 1 year. Questions regarded IUD expulsion, discontinuation because of symptoms (e.g., pain, bleeding, discharge), discontinuation for other reasons and use of alternative contraception if discontinuation reported. Results: We could contact 844 of the 1200 randomly selected women, of whom 673 (79.7%) had postplacental insertion (within 10 min of delivery), while 171 (20.3%) had an early postpartum insertion (between 10 min to 48 h after delivery). Of those contacted, 530 women (62.8%) reported continuing with the method beyond 1 year, 63 (7.5%) reported having an expulsion, 163 (19.3%) reported having removals for associated side effects (bleeding, pain and discharge), and 88 (10.4%) reported having removals for other reasons. After removal or expulsion, almost half of the women (46.5%) did not switch to any other modern contraceptive method. Conclusion: PPCuIUD continuation rate at 1 year was 62.8%. Most removals within 1 year were due to associated side effects. Almost half of the women discontinuing PPCuIUD did not switch to an alternative modern contraceptive method. Implications: The 1-year continuation rate of PPCuIUD achieved through a large-scale national program in India is satisfactory. The program though needs to address the low uptake of other modern contraceptive methods after discontinuation.","author":[{"dropping-particle":"","family":"Kumar","given":"Somesh","non-dropping-particle":"","parse-names":false,"suffix":""},{"dropping-particle":"","family":"Srivastava","given":"Ashish","non-dropping-particle":"","parse-names":false,"suffix":""},{"dropping-particle":"","family":"Sharma","given":"Surendra","non-dropping-particle":"","parse-names":false,"suffix":""},{"dropping-particle":"","family":"Yadav","given":"Vivek","non-dropping-particle":"","parse-names":false,"suffix":""},{"dropping-particle":"","family":"Mittal","given":"Atul","non-dropping-particle":"","parse-names":false,"suffix":""},{"dropping-particle":"","family":"Kim","given":"Young–Mi M.","non-dropping-particle":"","parse-names":false,"suffix":""},{"dropping-particle":"","family":"Nash-Mercado","given":"Angela","non-dropping-particle":"","parse-names":false,"suffix":""},{"dropping-particle":"","family":"Reijneveld","given":"Sijmen A.","non-dropping-particle":"","parse-names":false,"suffix":""},{"dropping-particle":"","family":"Sood","given":"Bulbul","non-dropping-particle":"","parse-names":false,"suffix":""}],"container-title":"Contraception","id":"ITEM-1","issue":"4","issued":{"date-parts":[["2019"]]},"page":"212-216","title":"One-year continuation of postpartum intrauterine contraceptive device: findings from a retrospective cohort study in India","type":"article-journal","volume":"99"},"uris":["http://www.mendeley.com/documents/?uuid=cd1c7477-23ce-4466-8ef9-25aa81a9cdb3"]}],"mendeley":{"formattedCitation":"(Kumar et al., 2019)","plainTextFormattedCitation":"(Kumar et al., 2019)","previouslyFormattedCitation":"(Kumar et al., 2019)"},"properties":{"noteIndex":0},"schema":"https://github.com/citation-style-language/schema/raw/master/csl-citation.json"}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(Kumar et al., 2019)</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Meskipun penggunaan IUD pascapersalinan segera masih jarang dilakukan, pedoman nasional menyarankan akses universal terhadap perawatan ini yang diberikan hampir secara eksklusif di sejumlah kecil tempat medis akademis "pengguna awal"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{"citationItems":[{"id":"ITEM-1","itemData":{"DOI":"10.1016/j.ejogrb.2024.04.038","ISSN":"18727654","PMID":"38705006","abstract":"Objectives: To assess women's contraceptive preferences in the immediate postpartum period and identify factors associated with use of their desired contraceptive method six months later. Material and methods: This prospective cohort study included women ≤48 h after delivery at a single public Brazilian hospital. The women's interview took place in two different momentsbefore hospital discharge (in-person interview) and six months after delivery (by telephone contact). For data collection and management, we used the REDCap electronic tool. Univariate and multivariate analyses (unadjusted and adjusted Odds Ratio and 95 % confidence intervals) were used to identify factors associated with higher use of their desired contraceptive method six months after delivery. Results: A total of 294 women (166 adolescents) were included. Initial contraceptive preferences were especially intrauterine devices (IUDs) (39.1 %), implants (33.0 %) and injectable hormonal contraceptives (17.0 %). Six months later, 42.5 % (n = 125) were using their desired contraceptive method. Younger age, white race and contraceptive initiation prior to hospital discharge were associated with use of their desired contraceptive at six months. Conclusion: Long-acting reversible contraception (LARC) methods were the most desired contraceptives among women after delivery. Providing and initiating free contraception prior to discharge from a birthing unit is important with regard to use of their desired method.","author":[{"dropping-particle":"","family":"Meireles Castro Maia","given":"Elaine","non-dropping-particle":"","parse-names":false,"suffix":""},{"dropping-particle":"","family":"Autran Coelho Peixoto","given":"Raquel","non-dropping-particle":"","parse-names":false,"suffix":""},{"dropping-particle":"","family":"Aparecida Falbo Guazzelli","given":"Cristina","non-dropping-particle":"","parse-names":false,"suffix":""}],"container-title":"European Journal of Obstetrics and Gynecology and Reproductive Biology","id":"ITEM-1","issued":{"date-parts":[["2024"]]},"page":"1-5","title":"Choice and factors associated to the use of contraceptive methods among postpartum women: A prospective cohort study","type":"article-journal","volume":"298"},"uris":["http://www.mendeley.com/documents/?uuid=1ce1d339-f6b6-4fec-9207-56e07e45dba6"]}],"mendeley":{"formattedCitation":"(Meireles Castro Maia et al., 2024)","plainTextFormattedCitation":"(Meireles Castro Maia et al., 2024)","previouslyFormattedCitation":"(Meireles Castro Maia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(Meireles Castro Maia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Koordinasi antar konteks (seperti rawat jalan) dan terkadang kelompok pemangku kepentingan yang berbeda (seperti dokter, apotek, dan penagihan) diperlukan dalam proses implementasi yang rumit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{"citationItems":[{"id":"ITEM-1","itemData":{"DOI":"10.1016/j.contraception.2024.110512","ISSN":"18790518","PMID":"38852698","abstract":"Objectives: This study aimed to determine the factors contributing to racial and ethnic disparities in the use of immediate postpartum, long-acting reversible contraception (IPP LARC) and permanent contraception among Medicaid recipients. Study design: We conducted a cross-sectional study using 3 years of national Medicaid claims data to examine the rates of IPP LARC use alone and a composite measure of postpartum permanent contraception and IPP LARC within 7 days of delivery by race and ethnicity. We used a Blinder–Oaxaca model to quantify the extent to which medical complexity, age, rurality, mode of delivery, and year explained differences in outcomes among different minoritized groups in comparison to non-Hispanic White women. Results: Our study sample contained 1,729,663 deliveries occurring from 2016 through 2018 among 1,605,199 people living in 16 states. IPP LARC use rates were highest among Black (2.2%), followed by American Indian and Alaska Native at 2.1% and Hawaiian/Pacific Islander beneficiaries at 1.9%, Hispanic (all races) at 1.2%, and Asian at 1.0%. IPP LARC was lowest among White beneficiaries (0.8%). Medical complexity, age, rurality, year, and mode of delivery explained only 12.3% of the difference in IPP LARC rates between Black and White beneficiaries. Postpartum permanent contraception was highest among White (7.6%), Hispanic (7.2%), and American Indian and Alaska Native (6.8%), followed by Black (6.3%), Hawaiian/Pacific Islander (5.1%) and lowest among Asian women (4.1%). When we examined the use of IPP LARC or postpartum permanent contraception together, these same factors explained 94.4% of the differences between Black and White beneficiaries. Conclusions: While differences in the use of IPP LARC by race and ethnicity were identified, our findings suggest that overall use of inpatient highly effective contraception are similar across racial and ethnic groups. Implications: When IPP LARC and postpartum permanent contraception are examined jointly, their use is similar across racial and ethnic groups.","author":[{"dropping-particle":"","family":"Rodriguez","given":"Maria I.","non-dropping-particle":"","parse-names":false,"suffix":""},{"dropping-particle":"","family":"Meath","given":"Thomas H.A.","non-dropping-particle":"","parse-names":false,"suffix":""},{"dropping-particle":"","family":"Watson","given":"Kelsey","non-dropping-particle":"","parse-names":false,"suffix":""},{"dropping-particle":"","family":"Daly","given":"Ashley","non-dropping-particle":"","parse-names":false,"suffix":""},{"dropping-particle":"","family":"McConnell","given":"K. John","non-dropping-particle":"","parse-names":false,"suffix":""},{"dropping-particle":"","family":"Kim","given":"Hyunjee","non-dropping-particle":"","parse-names":false,"suffix":""}],"container-title":"Contraception","id":"ITEM-1","issued":{"date-parts":[["2024"]]},"title":"Decomposition analysis of racial and ethnic differences in receipt of immediate postpartum, long-acting, reversible, and permanent contraception","type":"article-journal"},"uris":["http://www.mendeley.com/documents/?uuid=79da1242-bb61-49e7-b7b4-1ca637efe452"]},{"id":"ITEM-2","itemData":{"DOI":"10.1016/j.contraception.2024.110509","ISSN":"18790518","PMID":"38830389","abstract":"Objectives: This study aimed to describe immediate postpartum long-acting reversible contraception (IPP LARC) insertion rates during delivery hospitalizations at the state level and by payor type. Study design: This is a cross-sectional study of 26 states and District of Columbia using 2020 State Inpatient Database. Results: In 2020, IPP LARC insertion rates varied widely by states, ranging from 2.55 to 637.25 per 10,000 deliveries. Rates were higher for deliveries with Medicaid as primary expected payor than with private insurance in all states but District of Columbia. Conclusions: Rates of IPP LARC insertion varied in 2020 by state and were higher for deliveries with Medicaid as primary expected payor.","author":[{"dropping-particle":"","family":"Sharma","given":"Keshob","non-dropping-particle":"","parse-names":false,"suffix":""},{"dropping-particle":"","family":"Cox","given":"Shanna","non-dropping-particle":"","parse-names":false,"suffix":""},{"dropping-particle":"","family":"Romero","given":"Lisa","non-dropping-particle":"","parse-names":false,"suffix":""},{"dropping-particle":"","family":"Ekwueme","given":"Donatus","non-dropping-particle":"","parse-names":false,"suffix":""},{"dropping-particle":"","family":"Whiteman","given":"Maura","non-dropping-particle":"","parse-names":false,"suffix":""},{"dropping-particle":"","family":"Kroelinger","given":"Charlan","non-dropping-particle":"","parse-names":false,"suffix":""},{"dropping-particle":"","family":"Ouyang","given":"Lijing","non-dropping-particle":"","parse-names":false,"suffix":""}],"container-title":"Contraception","id":"ITEM-2","issued":{"date-parts":[["2024"]]},"title":"State variations in insertion of long-acting reversible contraception during delivery hospitalization","type":"article-journal"},"uris":["http://www.mendeley.com/documents/?uuid=6c4398cc-cf0c-4595-9ec7-fbfb5bef9cbe"]},{"id":"ITEM-3","itemData":{"DOI":"10.1111/1475-6773.14300","ISSN":"14756773","PMID":"38491794","abstract":"Objectives: To examine the effects of a comprehensive, multiyear (2015–2020) statewide contraceptive access intervention in Delaware on the contraceptive initiation of postpartum Medicaid patients. The program aimed to increase access to all contraceptives, including long-acting reversible contraceptives (LARC). The program included interventions specifically targeting postpartum patients (Medicaid payment reform and hospital-based immediate postpartum (IPP) LARC training) and interventions in outpatient settings (provider training and operational supports). Data Sources and Study Setting: We used Medicaid claims data between 2012 and 2019, from Delaware and Maryland (a comparison state), to identify births and postpartum contraceptive methods up to 60 days postpartum among patients aged 15–44 years who were covered in a full-benefit eligibility category. Study Design: Using difference-in-differences, we assessed changes in LARC, tubal ligation, and short-acting methods (oral contraceptive, injectable, patch/ring). LARC rates were assessed at 60 days after delivery and on an immediate postpartum basis. Other methods were only assessed at 60 days. Analyses were conducted separately for an early-adopting high-capacity hospital (that delivers approximately half of all Medicaid financed births) and for all other later-adopting hospitals in the state. Data Collection/Extraction Methods: Data were extracted from administrative claims. Principal Findings: The program increased postpartum LARC insertions by 60 days after delivery by 11.7 percentage points (95% CI: 10.7, 12.8) in the early-adopting hospital and 6.9 percentage points (95% CI: 4.8, 5.9) in later-adopting hospitals. Increases in IPP versus outpatient LARC drove the change, but we did not find evidence that IPP crowded-out outpatient LARC services. We observed decreases in short-acting methods, suggesting substitution between methods, but the share of patients with any method increased at the early-adopting hospital (5.2 percentage points; 95% CI: 3.5, 6.9) and was not statistically significantly different at the later-adopting hospitals. Conclusions: Direct reimbursement for IPP LARC, in combination with provider training, had a meaningful impact on the share of Medicaid-enrolled postpartum women with LARC claims.","author":[{"dropping-particle":"","family":"Gifford","given":"Katie","non-dropping-particle":"","parse-names":false,"suffix":""},{"dropping-particle":"","family":"McColl","given":"Rebecca","non-dropping-particle":"","parse-names":false,"suffix":""},{"dropping-particle":"","family":"McDuffie","given":"Mary Joan","non-dropping-particle":"","parse-names":false,"suffix":""},{"dropping-particle":"","family":"Boudreaux","given":"Michel","non-dropping-particle":"","parse-names":false,"suffix":""}],"container-title":"Health Services Research","id":"ITEM-3","issue":"3","issued":{"date-parts":[["2024"]]},"title":"Postpartum long-acting reversible contraceptive adoption after a statewide initiative","type":"article-journal","volume":"59"},"uris":["http://www.mendeley.com/documents/?uuid=ee56cba0-2e39-4b8d-be50-844f63c50c9a"]}],"mendeley":{"formattedCitation":"(Gifford et al., 2024; Rodriguez et al., 2024; Sharma et al., 2024)","plainTextFormattedCitation":"(Gifford et al., 2024; Rodriguez et al., 2024; Sharma et al., 2024)","previouslyFormattedCitation":"(Gifford et al., 2024; Rodriguez et al., 2024; Sharma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(Gifford et al., 2024; Rodriguez et al., 2024; Sharma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Tidak jelas siapa yang lebih mungkin menjadi pemenang di antara para champion implementasi dan bagaimana mereka menangani hambatan-hambatan ini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{"citationItems":[{"id":"ITEM-1","itemData":{"DOI":"10.1089/jwh.2023.1115","ISSN":"1931843X","PMID":"38848268","abstract":"Background: The postpartum period is a time of unmet contraceptive need for many women. Home visits by a health care worker during pregnancy or after delivery could increase postpartum contraceptive use and decrease barriers to accessing postpartum care. This study investigated the association between prenatal or postpartum home visits and postpartum contraceptive use using a large sample of U.S. women from 41 states. Subjects and Methods: We conducted a cross-sectional analysis using weighted survey data from the 2012–2015 Phase 7 Pregnancy Risk Assessment and Monitoring Systems Core and Standard Questionnaires. Descriptive statistics and multivariate logistic regression models estimated the association between having a prenatal or postpartum home visit and self-reported postpartum contraceptive use. Results: Of 141,296 women, approximately 21% received prenatal or postpartum home visits and 79% used postpartum contraception. After controlling for sociodemographic, reproductive, and health-related factors, women who received prenatal or postpartum home visits had a higher odds of postpartum contraception use (adjusted odds ratio 1.08, 95% confidence interval 1.02–1.15, p = 0.009). Women who were older, were minority race, had less than a high school education, received inadequate prenatal care, experienced partner abuse during pregnancy, or experienced multiple stressors during pregnancy had a lower odds of postpartum contraception use in adjusted analyses controlling for home visitation. Conclusion: Given the benefits of recommended interpregnancy intervals to both the mother and the baby, adding formal contraceptive counseling and offering a variety of postpartum contraceptive methods in the home could further strengthen home visitation programs in the United States and may support women in achieving their reproductive goals.","author":[{"dropping-particle":"","family":"Archer","given":"Sydney R.","non-dropping-particle":"","parse-names":false,"suffix":""},{"dropping-particle":"","family":"Wall","given":"Kristin M.","non-dropping-particle":"","parse-names":false,"suffix":""},{"dropping-particle":"","family":"Kottke","given":"Melissa J.","non-dropping-particle":"","parse-names":false,"suffix":""}],"container-title":"Journal of Women's Health","id":"ITEM-1","issued":{"date-parts":[["2024"]]},"title":"Prenatal and Postpartum Home Visits and Postpartum Contraceptive Use: A Cross-Sectional Analysis","type":"article-journal"},"uris":["http://www.mendeley.com/documents/?uuid=6383cabb-7c27-444d-afea-23155526db81"]},{"id":"ITEM-2","itemData":{"DOI":"10.1097/aog.0000000000005584","ISSN":"0029-7844","PMID":"38626452","abstract":" Single institution–level studies have demonstrated low postpartum permanent contraception fulfillment rates after vaginal birth. To explore the national scope of the problem, we collected cross-sectional survey data from faculty at 109 U.S. academic medical centers to elicit perceptions about postpartum permanent contraception practices after vaginal birth, including barriers to and changes in practice after the Dobbs v Jackson Women’s Health Organization decision, a decision that eliminated the U.S. federal protection of the right to abortion. Of 68 respondent institutions, 65 (95.6%) offered postpartum permanent contraception. A large majority (87.3%) perceived there to be a problem with postpartum permanent contraception fulfillment at their institution. Respondents at institutions with postpartum permanent contraception fulfillment rates in the bottom quartile used main operating rooms (66.7% vs 25.0% respectively, P =.032) and reported institutional culture barriers (86.7% vs 50.0%, respectively, P =.054) more frequently than respondents in the top quartile. Our national data indicate that health care culture changes and the use of labor and delivery operating rooms could increase postpartum permanent contraception fulfillment. ","author":[{"dropping-particle":"","family":"Murphy","given":"Ellen","non-dropping-particle":"","parse-names":false,"suffix":""},{"dropping-particle":"","family":"Pelletier","given":"Andrea","non-dropping-particle":"","parse-names":false,"suffix":""},{"dropping-particle":"","family":"Fay","given":"Kathryn","non-dropping-particle":"","parse-names":false,"suffix":""},{"dropping-particle":"","family":"Bartz","given":"Deborah","non-dropping-particle":"","parse-names":false,"suffix":""}],"container-title":"Obstetrics &amp; Gynecology","id":"ITEM-2","issue":"6","issued":{"date-parts":[["2024"]]},"page":"835-838","title":"National Postpartum Permanent Contraception Practices and Perceived Barriers","type":"article-journal","volume":"143"},"uris":["http://www.mendeley.com/documents/?uuid=ad1e636e-b3ed-4ea8-82f9-100954e7496a"]}],"mendeley":{"formattedCitation":"(Archer et al., 2024; Murphy et al., 2024)","plainTextFormattedCitation":"(Archer et al., 2024; Murphy et al., 2024)","previouslyFormattedCitation":"(Archer et al., 2024; Murphy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(Archer et al., 2024; Murphy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Kami mengamati pengenalan layanan IUD pascapersalinan di lokasi pengadopsi awal sebagai studi kasus untuk menentukan dan memahami karakteristik champion yang mempengaruhi hasil implementasi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{"citationItems":[{"id":"ITEM-1","itemData":{"DOI":"10.1177/10901981231204583","ISSN":"15526127","PMID":"37846846","abstract":"Reproductive interconception care provided at maternal postpartum visits may help reduce unintended pregnancies and elongate birth intervals for women experiencing homelessness. To improve interconception care uptake, this qualitative study aimed to identify barriers and facilitators to reproductive interconception care from the perspectives of women who were recently pregnant and homeless. A semi-structured interview guide and demographic survey were developed based on epidemiological findings, Information-Motivation-Behavioral Skill framework components, and a review by community health workers for content validity. After conducting 12 interviews with women recently pregnant and homeless in a local continuum of care in 2022, audio-recorded interviews were transcribed, iteratively coded using a priori and emerging codes, and thematically analyzed. Key themes were identified to determine implications and next steps to improving reproductive interconception care uptake. Interrelated themes focused on information (e.g., knowledge and misconceptions about pregnancy, birth intervals, contraception), motivation (e.g., attitudes about interconception care experiences, perinatal social influences), behavioral skills (e.g., objective ability to obtain interconception care and perceived self-efficacy related to attending maternal postpartum visits and increasing birth intervals), and macro-level factors (e.g., obtaining housing, contextualizing socioeconomic factors, navigating COVID-19). The findings suggest the need for flexible, streamlined, and personalized interconception care delivery that acknowledges pressing housing and relationship considerations and supports women’s autonomy. Improvements to reproductive interconception care may reduce future unintended pregnancies, increase birth intervals, and improve birth outcomes among women experiencing homelessness.","author":[{"dropping-particle":"","family":"Galvin","given":"Annalynn M.","non-dropping-particle":"","parse-names":false,"suffix":""},{"dropping-particle":"","family":"Akpan","given":"Idara N.","non-dropping-particle":"","parse-names":false,"suffix":""},{"dropping-particle":"","family":"Lewis","given":"Melissa A.","non-dropping-particle":"","parse-names":false,"suffix":""},{"dropping-particle":"","family":"Walters","given":"Scott T.","non-dropping-particle":"","parse-names":false,"suffix":""},{"dropping-particle":"","family":"Thompson","given":"Erika L.","non-dropping-particle":"","parse-names":false,"suffix":""}],"container-title":"Health Education and Behavior","id":"ITEM-1","issue":"2","issued":{"date-parts":[["2024"]]},"note":"Cited By (since 2024): 1","page":"302-310","title":"Reproductive Interconception Care Among Women Recently Pregnant and Homeless: A Qualitative Analysis","type":"article-journal","volume":"51"},"uris":["http://www.mendeley.com/documents/?uuid=6ed66f1c-d5cb-4890-a039-15b9521e8aca"]}],"mendeley":{"formattedCitation":"(Galvin et al., 2024)","plainTextFormattedCitation":"(Galvin et al., 2024)","previouslyFormattedCitation":"(Galvin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(Galvin et al., 2024)</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3FF68A54"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ini memberikan kontribusi penting terhadap literatur dengan memperkuat pentingnya peran champion dalam upaya perubahan layanan kesehatan yang sukses, tetapi dengan pendekatan yang lebih mendalam daripada sekadar mengidentifikasi keberadaan champion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{"citationItems":[{"id":"ITEM-1","itemData":{"DOI":"10.1097/AOG.0000000000005474","ISSN":"1873233X","PMID":"38237165","abstract":"Permanent contraception is the most used method of contraception among women aged 15-49 years and is one of the most straightforward surgical procedures an obstetrician-gynecologist can perform. At the same time, this therapeutic option is enormously complex when considered from a historical, sociological, or ethical perspective. This Committee Statement reviews ethical issues related to permanent contraception using a reproductive justice framework. Ethical counseling and shared decision making for permanent contraception should adopt a nonjudgmental, patient-centered approach, using up-to-date information about permanent contraception procedures and alternatives. Obstetrician-gynecologists should strive to avoid bringing into the clinical encounter biases around gender, race, age, and class that affect thoughts on who should or should not become a parent. Obstetrician-gynecologists should also ensure that permanent contraception requests reflect each patient's wishes, come from a desire to permanently end childbearing, and come from a preference for permanent contraception over all reversible methods as well as permanent contraception for the male partner. When difficulties in meeting a postpartum permanent contraception request are anticipated and permanent contraception is desired by the patient, transfer of care for the remainder of pregnancy should be offered. ACOG recognizes the right of all patients to unimpeded access to permanent contraception as a way of ensuring health equity, but it is unclear how to craft policies that protect from coercion but also do not create barriers to autonomously desired care. Determining the ethical balance between access and safeguards will require a collaborative interdisciplinary approach that involves a variety of stakeholders with varying perspectives.","author":[{"dropping-particle":"","family":"Gynecologists","given":"American College of Obstetricians and","non-dropping-particle":"","parse-names":false,"suffix":""}],"container-title":"Obstetrics and Gynecology","id":"ITEM-1","issue":"2","issued":{"date-parts":[["2024"]]},"note":"Cited By (since 2024): 1","page":"E31-E39","title":"Permanent Contraception: Ethical Issues and Considerations","type":"article-journal","volume":"143"},"uris":["http://www.mendeley.com/documents/?uuid=6137a096-6f42-4b94-a7e2-56424fe5fbc5"]}],"mendeley":{"formattedCitation":"(Gynecologists, 2024)","plainTextFormattedCitation":"(Gynecologists, 2024)","previouslyFormattedCitation":"(Gynecologists,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(Gynecologists,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Studi ini mengidentifikasi enam atribut kunci dari champion pengaruh, kepemilikan, kehadiran fisik, ketabahan, kemampuan persuasif, dan gaya kepemimpinan partisipatif yang mempengaruhi hasil implementasi, memberikan wawasan baru tentang karakteristik personal yang berkontribusi terhadap keberhasilan mereka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{"citationItems":[{"id":"ITEM-1","itemData":{"DOI":"10.1186/s12978-024-01803-3","ISSN":"1742-4755","author":[{"dropping-particle":"","family":"Sathitloetsakun","given":"S","non-dropping-particle":"","parse-names":false,"suffix":""}],"container-title":"Reproductive Health","id":"ITEM-1","issue":"1","issued":{"date-parts":[["2024"]]},"title":"The prevalence of contraceptive use among postpartum women and its associated factors during the early phase of COVID-19 outbreak: a time series study","type":"article-journal","volume":"21"},"uris":["http://www.mendeley.com/documents/?uuid=c3474690-3b53-4a88-aeb3-9f1d6155ce7a"]},{"id":"ITEM-2","itemData":{"DOI":"10.1371/journal.pone.0300342","ISSN":"19326203","PMID":"38547207","abstract":"This study evaluated the effect of Momentum–an integrated family planning, maternal and newborn health, and nutrition intervention–on postpartum family planning norms and behaviors among ever married and never-married first-time mothers age 15–24 in Kinshasa, Democratic Republic of the Congo. Using data collected in 2018 and 2020, we conducted an intent-to-treat analysis among 1,927 first-time mothers who were about sixmonths pregnant at enrollment. Difference-in-differences models were run for panel data and treatment effects models with inverse-probability weighting for endline-only outcomes. Average treatment effects (ATE) were estimated. Momentum had positive effects on partner discussion of family planning in the early postpartum period (ever married 15–19: ATE = 0.179, 95% CI = 0.098, 0.261; never married 15–19: ATE = 0.131, 95% CI = 0.029, 0.232; ever married 20–24: ATE = 0.233, 95% CI = 0.164, 0.302; never married 20–24: ATE = 0.241, 95% CI = 0.121, 0.362) and discussion with a health worker, and on obtaining a contraceptive method in the early postpartum period, except among never married adolescents. Among adolescents, intervention effects on modern contraceptive use within 12 months of childbirth/pregnancy loss were larger for the never married (ATE = 0.251, 95% CI = 0.122, 0.380) than the ever married (ATE = 0.114, 95% CI = 0.020, 0.208). Full intervention exposure had consistently larger effects on contraceptive behaviors than partial exposure, except among ever married adolescents. Momentum had no effect on normative expectations about postpartum family planning use among adolescents, and on descriptive norms and personal agency among those who were never married. Results for normative outcomes and personal agency underscored the intersectionality between young maternal age and marital status. Future programs should improve personal agency and foster normative change in support of postpartum family planning uptake and tailor interventions to different age and marital status subsets of first-time mothers.","author":[{"dropping-particle":"","family":"Gage","given":"Anastasia J.","non-dropping-particle":"","parse-names":false,"suffix":""},{"dropping-particle":"","family":"Wood","given":"Francine E.","non-dropping-particle":"","parse-names":false,"suffix":""},{"dropping-particle":"","family":"Gay","given":"Rianne","non-dropping-particle":"","parse-names":false,"suffix":""},{"dropping-particle":"","family":"Akilimali","given":"Pierre","non-dropping-particle":"","parse-names":false,"suffix":""}],"container-title":"PLoS ONE","id":"ITEM-2","issue":"3 March","issued":{"date-parts":[["2024"]]},"title":"Effects of the Momentum project on postpartum family planning norms and behaviors among married and unmarried adolescent and young first-time mothers in Kinshasa: A quasi-experimental study","type":"article-journal","volume":"19"},"uris":["http://www.mendeley.com/documents/?uuid=e8465256-050c-4a80-b311-ee3f1243b662"]},{"id":"ITEM-3","itemData":{"DOI":"10.1016/j.cct.2024.107571","ISSN":"15592030","PMID":"38740296","abstract":"Background: Becoming a parent is a transformative experience requiring multiple transitions, including the need to navigate several components of health care, manage any mental health issues, and develop and sustain an approach to infant feeding. Baby2Home (B2H) is a digital intervention built on the collaborative care model (CCM) designed to support families during these transitions to parenthood. Objectives: We aim to investigate the effects of B2H on preventive healthcare utilization for the family unit and patient-reported outcomes (PROs) trajectories with a focus on mental health. We also aim to evaluate heterogeneity in treatment effects across social determinants of health including self-reported race and ethnicity and household income. We hypothesize that B2H will lead to optimized healthcare utilization, improved PROs trajectories, and reduced racial, ethnic, and income-based disparities in these outcomes as compared to usual care. Methods: B2H is a multi-center, pragmatic, individual-level randomized controlled trial. We will enroll 640 families who will be randomized to: [1] B2H + usual care, or [2] usual care alone. Preventive healthcare utilization is self-reported and confirmed from medical records and includes attendance at the postpartum visit, contraception use, depression screening, vaccine uptake, well-baby visit attendance, and breastfeeding at 6 months. PROs trajectories will be analyzed after collection at 1 month, 2 months, 4 months, 6 months and 12 months. PROs include assessments of stress, depression, anxiety, self-efficacy and relationship health. Implications: If B2H proves effective, it would provide a scalable digital intervention to improve care for families throughout the transition to new parenthood.","author":[{"dropping-particle":"","family":"Duckworth","given":"Megan","non-dropping-particle":"","parse-names":false,"suffix":""},{"dropping-particle":"","family":"Garfield","given":"Craig F.","non-dropping-particle":"","parse-names":false,"suffix":""},{"dropping-particle":"","family":"Santiago","given":"Joshua E.","non-dropping-particle":"","parse-names":false,"suffix":""},{"dropping-particle":"","family":"Gollan","given":"Jacqueline","non-dropping-particle":"","parse-names":false,"suffix":""},{"dropping-particle":"","family":"O'Sullivan","given":"Kathleen","non-dropping-particle":"","parse-names":false,"suffix":""},{"dropping-particle":"","family":"Williams","given":"Dinah","non-dropping-particle":"","parse-names":false,"suffix":""},{"dropping-particle":"","family":"Lee","given":"Young","non-dropping-particle":"","parse-names":false,"suffix":""},{"dropping-particle":"","family":"Muhammad","given":"Lutfiyya N.","non-dropping-particle":"","parse-names":false,"suffix":""},{"dropping-particle":"","family":"Miller","given":"Emily S.","non-dropping-particle":"","parse-names":false,"suffix":""}],"container-title":"Contemporary Clinical Trials","id":"ITEM-3","issued":{"date-parts":[["2024"]]},"title":"The design and implementation of a multi-center, pragmatic, individual-level randomized controlled trial to evaluate Baby2Home, an mHealth intervention to support new parents","type":"article-journal","volume":"142"},"uris":["http://www.mendeley.com/documents/?uuid=fc4a630a-e37b-4952-a28a-c6c8e6b91272"]}],"mendeley":{"formattedCitation":"(Duckworth et al., 2024; Gage et al., 2024; Sathitloetsakun, 2024)","plainTextFormattedCitation":"(Duckworth et al., 2024; Gage et al., 2024; Sathitloetsakun, 2024)","previouslyFormattedCitation":"(Duckworth et al., 2024; Gage et al., 2024; Sathitloetsakun,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(Duckworth et al., 2024; Gage et al., 2024; Sathitloetsakun,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Penelitian ini menggunakan data kualitatif yang kaya untuk menjelaskan bagaimana dan mengapa champion bekerja, berbeda dari banyak penelitian sebelumnya yang lebih fokus pada </w:t>
      </w:r>
      <w:proofErr w:type="gramStart"/>
      <w:r w:rsidRPr="009E5DBF">
        <w:rPr>
          <w:rFonts w:ascii="Book Antiqua" w:hAnsi="Book Antiqua"/>
          <w:sz w:val="24"/>
          <w:szCs w:val="24"/>
          <w:lang w:val="sv-SE"/>
        </w:rPr>
        <w:t>strategi dan</w:t>
      </w:r>
      <w:proofErr w:type="gramEnd"/>
      <w:r w:rsidRPr="009E5DBF">
        <w:rPr>
          <w:rFonts w:ascii="Book Antiqua" w:hAnsi="Book Antiqua"/>
          <w:sz w:val="24"/>
          <w:szCs w:val="24"/>
          <w:lang w:val="sv-SE"/>
        </w:rPr>
        <w:t xml:space="preserve"> sumber daya yang digunakan oleh champion. Selain itu, penelitian ini menunjukkan bahwa keberhasilan champion tidak hanya bergantung pada atribut individu mereka, tetapi juga pada bagaimana atribut tersebut berinteraksi dengan konteks organisasi dan hambatan yang ada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{"citationItems":[{"id":"ITEM-1","itemData":{"DOI":"10.1186/s43058-024-00557-0","ISSN":"26622211","abstract":"Background: Implementation science researchers often cite clinical champions as critical to overcoming organizational resistance and other barriers to the implementation of evidence-based health services, yet relatively little is known about who champions are or how they effect change. To inform future efforts to identify and engage champions to support HPV vaccination, we sought to describe the key characteristics and strategies of vaccine champions working in adolescent primary care. Methods: In 2022, we conducted a national survey with a web-based panel of 2527 primary care professionals (PCPs) with a role in adolescent HPV vaccination (57% response rate). Our sample consisted of pediatricians (26%), family medicine physicians (22%), advanced practice providers (24%), and nursing staff (28%). Our survey assessed PCPs’ experience with vaccine champions, defined as health care professionals “known for helping their colleagues improve vaccination rates.” Results: Overall, 85% of PCPs reported currently working with one or more vaccine champions. Among these 2144 PCPs, most identified the champion with whom they worked most closely as being a physician (40%) or nurse (40%). Almost all identified champions worked to improve vaccination rates for vaccines in general (45%) or HPV vaccine specifically (49%). PCPs commonly reported that champion implementation strategies included sharing information (79%), encouragement (62%), and vaccination data (59%) with colleagues, but less than half reported that champions led quality improvement projects (39%). Most PCPs perceived their closest champion as being moderately to extremely effective at improving vaccination rates (91%). PCPs who did versus did not work with champions more often recommended HPV vaccination at the earliest opportunity of ages 9–10 rather than later ages (44% vs. 33%, p &lt; 0.001). Conclusions: Findings of our national study suggest that vaccine champions are common in adolescent primary care, but only a minority lead quality improvement projects. Interventionists seeking to identify champions to improve HPV vaccination rates can expect to find them among both physicians and nurses, but should be prepared to offer support to more fully engage them in implementing interventions.","author":[{"dropping-particle":"","family":"Brewington","given":"Micaela K.","non-dropping-particle":"","parse-names":false,"suffix":""},{"dropping-particle":"","family":"Queen","given":"Tara L.","non-dropping-particle":"","parse-names":false,"suffix":""},{"dropping-particle":"","family":"Heisler-MacKinnon","given":"Jennifer","non-dropping-particle":"","parse-names":false,"suffix":""},{"dropping-particle":"","family":"Calo","given":"William A.","non-dropping-particle":"","parse-names":false,"suffix":""},{"dropping-particle":"","family":"Weaver","given":"Sandra","non-dropping-particle":"","parse-names":false,"suffix":""},{"dropping-particle":"","family":"Barry","given":"Chris","non-dropping-particle":"","parse-names":false,"suffix":""},{"dropping-particle":"","family":"Kong","given":"Wei Yi","non-dropping-particle":"","parse-names":false,"suffix":""},{"dropping-particle":"","family":"Kennedy","given":"Kathryn L.","non-dropping-particle":"","parse-names":false,"suffix":""},{"dropping-particle":"","family":"Shea","given":"Christopher M.","non-dropping-particle":"","parse-names":false,"suffix":""},{"dropping-particle":"","family":"Gilkey","given":"Melissa B.","non-dropping-particle":"","parse-names":false,"suffix":""}],"container-title":"Implementation Science Communications","id":"ITEM-1","issue":"1","issued":{"date-parts":[["2024"]]},"note":"Cited By (since 2024): 1","title":"Who are vaccine champions and what implementation strategies do they use to improve adolescent HPV vaccination? Findings from a national survey of primary care professionals","type":"article-journal","volume":"5"},"uris":["http://www.mendeley.com/documents/?uuid=ec981a7e-98c0-4c6e-b2da-edbcee7dc169"]}],"mendeley":{"formattedCitation":"(Brewington et al., 2024)","plainTextFormattedCitation":"(Brewington et al., 2024)","previouslyFormattedCitation":"(Brewington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(Brewington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menekankan perlunya memahami konteks lokal dalam mengevaluasi efektivitas champion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{"citationItems":[{"id":"ITEM-1","itemData":{"DOI":"10.1016/j.contraception.2024.110447","ISSN":"18790518","PMID":"38583583","abstract":"Objectives: Depression is common during pregnancy and the year following childbirth (the perinatal period). This study assessed the association of depressive symptoms and contraception decisions in perinatal individuals. Study design: We conducted a secondary analysis using data from the PRogram in Support of Moms (PRISM) study, a cluster randomized controlled trial of active interventions which aimed to address perinatal depression. This analysis included 191 individuals aged 18–45 who screened positive for depression on the Edinburgh Postnatal Depression Scale (EPDS, score ≥10) during pregnancy or up to 3 months postpartum. We assessed contraception intent and method choice at 1–3 months postpartum. At 5–7 months postpartum, we assessed contraceptive method used and EPDS depression scores. We used logistic regressions to examine the relationship between depression and contraceptive use/method. Results: At 1–3 months postpartum, the majority of participants (76.4%) expressed an intention to use contraception. Of those, over half (53.4%) indicated a preference for higher effectiveness contraception methods. Participants with persistent depression symptoms (positive EPDS) at 5–7 months were significantly less likely to report using higher effectiveness contraceptive methods (aOR = 0.28, 95% CI = 0.11–0.70) compared to those without. Among participants with persistent depressive symptoms, 21.1% reported using a contraception method of lower effectiveness than had originally intended. Conclusion: Perinatal individuals with persistent depressive symptoms at 5–7 months postpartum reported greater use of less-effective contraception methods than originally planned. Implications: We found associations between perinatal depression and use of less effective contraception use. Provider discussions regarding contraception planning is important, particularly in those with perinatal depression symptoms.","author":[{"dropping-particle":"","family":"Masters","given":"Grace A.","non-dropping-particle":"","parse-names":false,"suffix":""},{"dropping-particle":"","family":"Julce","given":"Clevanne","non-dropping-particle":"","parse-names":false,"suffix":""},{"dropping-particle":"","family":"Carroll","given":"Smita","non-dropping-particle":"","parse-names":false,"suffix":""},{"dropping-particle":"","family":"Person","given":"Sharina D.","non-dropping-particle":"","parse-names":false,"suffix":""},{"dropping-particle":"","family":"Allison","given":"Jeroan","non-dropping-particle":"","parse-names":false,"suffix":""},{"dropping-particle":"","family":"Byatt","given":"Nancy","non-dropping-particle":"","parse-names":false,"suffix":""},{"dropping-particle":"","family":"Moore Simas","given":"Tiffany A.","non-dropping-particle":"","parse-names":false,"suffix":""}],"container-title":"Contraception","id":"ITEM-1","issued":{"date-parts":[["2024"]]},"title":"Association of perinatal depression and postpartum contraception intent, choice, and actual use","type":"article-journal","volume":"135"},"uris":["http://www.mendeley.com/documents/?uuid=78ca2bf0-07a2-49ec-a867-b2935f84de11"]}],"mendeley":{"formattedCitation":"(Masters et al., 2024)","plainTextFormattedCitation":"(Masters et al., 2024)","previouslyFormattedCitation":"(Masters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(Masters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Studi ini juga memberikan dasar untuk evaluasi prospektif lebih lanjut tentang interaksi antara atribut champion, konteks, dan hasil implementasi, membuka jalan bagi penelitian di masa depan untuk lebih memahami mekanisme yang mendasari keberhasilan champion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{"citationItems":[{"id":"ITEM-1","itemData":{"DOI":"10.1136/bmjsrh-2021-201170","ISSN":"25152009","PMID":"34187901","abstract":"Background Immediate postpartum intrauterine device (PPIUD) insertion is safe and effective but largely unavailable in Europe. Data on maternity staff views on the provision and implementation of PPIUD services are limited. The objective of this qualitative evaluation was to explore the views and experiences of obstetricians and midwives providing PPIUD within a UK maternity setting, in order to identify areas for improvement and inform service provision in other areas. Methods Qualitative health services research within two public maternity hospitals in Lothian (Edinburgh and surrounding region), UK. Interviews with 30 maternity staff (obstetricians n=8; midwives n=22) involved in PPIUD provision. Data were analysed thematically. Results Maternity staff were positive about the benefits of PPIUD for women. Midwives reported initial concerns about PPIUD safety, and the impact on workload; these views shifted following training, and as PPIUD was embedded into practice. Having a large pool of PPIUD-trained staff was identified as an important factor in successful service implementation. Having PPIUD 'champions' was important to address staff concerns, encourage training uptake, and advocate for the service to ensure continued resourcing. Conclusions PPIUD in maternity services can help address unmet need for effective contraception in the immediate postpartum period. We emphasise the importance of widespread engagement around PPIUD among all healthcare professionals involved in the care of women, to ensure staff are informed and supported. Clinical champions and leaders play a key role in amplifying the benefits of PPIUD, and advancing organisational learning.","author":[{"dropping-particle":"","family":"Boydell","given":"Nicola","non-dropping-particle":"","parse-names":false,"suffix":""},{"dropping-particle":"","family":"Cooper","given":"Michelle","non-dropping-particle":"","parse-names":false,"suffix":""},{"dropping-particle":"","family":"Cameron","given":"Sharon T.","non-dropping-particle":"","parse-names":false,"suffix":""},{"dropping-particle":"","family":"Glasier","given":"Anna","non-dropping-particle":"","parse-names":false,"suffix":""},{"dropping-particle":"","family":"Coutts","given":"Shiona","non-dropping-particle":"","parse-names":false,"suffix":""},{"dropping-particle":"","family":"McGuire","given":"Frances","non-dropping-particle":"","parse-names":false,"suffix":""},{"dropping-particle":"","family":"Harden","given":"Jeni","non-dropping-particle":"","parse-names":false,"suffix":""}],"container-title":"BMJ Sexual and Reproductive Health","id":"ITEM-1","issue":"2","issued":{"date-parts":[["2022"]]},"note":"Cited By (since 2022): 3","page":"85-92","title":"Perspectives of obstetricians and midwives on the provision of immediate postpartum intrauterine devices: a qualitative service evaluation","type":"article-journal","volume":"48"},"uris":["http://www.mendeley.com/documents/?uuid=31b279c1-0bb8-4d8f-a379-1f0134301f8c"]},{"id":"ITEM-2","itemData":{"DOI":"10.1371/journal.pone.0294475","ISSN":"19326203","PMID":"38498424","abstract":"Background Despite conflicting findings in the current literature regarding the correlation between contraceptives and maternal health consequences, statistical analyses indicate that family planning may decrease the occurrence of such outcomes. Consequently, it is crucial to assess the capability of family planning to mitigate adverse maternal health outcomes. Objectives This review investigates the effects of modern contraceptive use on maternal health. Search methods This systematic review is registered on Prospero (CRD42022332783). We searched numerous databases with an upper date limit of February 2022 and no geographical boundaries. Selection criteria We included observational studies, including cross-sectional, cohort, case-control studies, and non-RCT with a comparison group. We excluded systematic reviews, scoping reviews, narrative reviews, and meta-analyses from the body of this review. Main results The review included nineteen studies, with five studies reporting a reduction in maternal mortality linked to increased access to family planning resources and contraceptive use. Another three studies examined the impact of contraception on the risk of preeclampsia and our analysis found that preeclampsia risk was lower by approximately 6% among contraceptive users (95% CI 0.82–1.13) compared to non-users. Two studies assessed the effect of hormonal contraceptives on postpartum glucose tolerance and found that low-androgen contraception was associated with a reduced risk of gestational diabetes (OR 0.84, 95% CI 0.58–1.22), while DMPA injection was possibly linked to a higher risk of falling glucose status postpartum (OR 1.42, 95% CI 0.85–2.36). Two studies evaluated high-risk pregnancies and births in contraceptive users versus non-users, with the risk ratio being 30% lower among contraceptive users of any form (95% CI 0.61, 0.80). None of these results were statistically significant except the latter. In terms of adverse maternal health outcomes, certain contraceptives were found to be associated with ectopic pregnancy and pregnancy-related venous thromboembolism through additional analysis.","author":[{"dropping-particle":"","family":"Jahanfar","given":"Shayesteh","non-dropping-particle":"","parse-names":false,"suffix":""},{"dropping-particle":"","family":"Maurer","given":"Olivia","non-dropping-particle":"","parse-names":false,"suffix":""},{"dropping-particle":"","family":"Lapidow","given":"Amy","non-dropping-particle":"","parse-names":false,"suffix":""},{"dropping-particle":"","family":"Oberoi","given":"Anjali Rajkumari","non-dropping-particle":"","parse-names":false,"suffix":""},{"dropping-particle":"","family":"Steinfeldt","given":"Meredith","non-dropping-particle":"","parse-names":false,"suffix":""},{"dropping-particle":"","family":"Ali","given":"Moazzam","non-dropping-particle":"","parse-names":false,"suffix":""}],"container-title":"PLoS ONE","id":"ITEM-2","issue":"3 March","issued":{"date-parts":[["2024"]]},"note":"Cited By (since 2024): 1","title":"A meta-analysis into the mediatory effects of family planning utilization on complications of pregnancy in women of reproductive age","type":"article-journal","volume":"19"},"uris":["http://www.mendeley.com/documents/?uuid=7a0152c8-304e-42c6-b293-b9b1845a996b"]},{"id":"ITEM-3","itemData":{"DOI":"10.1001/jamahealthforum.2024.0004","ISSN":"26890186","PMID":"38457131","abstract":"Importance: Pursuant to the Families First Coronavirus Response Act (FFCRA), continuous Medicaid eligibility during the COVID-19 public health emergency (PHE) created a de facto national extension of pregnancy Medicaid eligibility beyond 60 days postpartum. Objective: To evaluate the association of continuous Medicaid eligibility with postpartum health insurance, health care use, breastfeeding, and depressive symptoms. Design, Setting, and Participants: This cohort study using a generalized difference-in-differences design included 21 states with continuous prepolicy (2017-2019) and postpolicy (2020-2021) participation in the Pregnancy Risk Assessment Monitoring System (PRAMS). Exposures: State-level change in Medicaid income eligibility after 60 days postpartum associated with the FFCRA measured as a percent of the federal poverty level (FPL; ie, the difference in 2020 income eligibility thresholds for pregnant people and low-income adults/parents). Main Outcomes and Measures: Health insurance, postpartum visit attendance, contraceptive use (any effective method; long-acting reversible contraceptives), any breastfeeding and depressive symptoms at the time of the PRAMS survey (mean [SD], 4 [1.3] months postpartum). Results: The sample included 47716 PRAMS respondents (64.4% aged &lt;30 years; 18.9% Hispanic, 26.2% non-Hispanic Black, 36.3% non-Hispanic White, and 18.6% other race or ethnicity) with a Medicaid-paid birth. Based on adjusted estimates, a 100% FPL increase in postpartum Medicaid eligibility was associated with a 5.1 percentage point (pp) increase in reported postpartum Medicaid enrollment, no change in commercial coverage, and a 6.6 pp decline in uninsurance. This represents a 40% reduction in postpartum uninsurance after a Medicaid-paid birth compared with the prepolicy baseline of 16.7%. In subgroup analyses by race and ethnicity, uninsurance reductions were observed only among White and Black non-Hispanic individuals; Hispanic individuals had no change. No policy-associated changes were observed in other outcomes. Conclusions and Relevance: In this cohort study, continuous Medicaid eligibility during the COVID-19 PHE was associated with significantly reduced postpartum uninsurance for people with Medicaid-paid births, but was not associated with postpartum visit attendance, contraception use, breastfeeding, or depressive symptoms at approximately 4 months postpartum. These findings, though limited to the context of the COVID-19 PHE, may off…","author":[{"dropping-particle":"","family":"Daw","given":"Jamie R.","non-dropping-particle":"","parse-names":false,"suffix":""},{"dropping-particle":"","family":"Maccallum-Bridges","given":"Colleen L.","non-dropping-particle":"","parse-names":false,"suffix":""},{"dropping-particle":"","family":"Kozhimannil","given":"Katy B.","non-dropping-particle":"","parse-names":false,"suffix":""},{"dropping-particle":"","family":"Admon","given":"Lindsay K.","non-dropping-particle":"","parse-names":false,"suffix":""}],"container-title":"JAMA Health Forum","id":"ITEM-3","issue":"3","issued":{"date-parts":[["2024"]]},"note":"Cited By (since 2024): 1","page":"E240004","title":"Continuous Medicaid Eligibility during the COVID-19 Pandemic and Postpartum Coverage, Health Care, and Outcomes","type":"article-journal","volume":"5"},"uris":["http://www.mendeley.com/documents/?uuid=eda0927c-d896-4441-974d-dae7c1bb24b7"]}],"mendeley":{"formattedCitation":"(Boydell et al., 2022; Daw et al., 2024; Jahanfar et al., 2024)","plainTextFormattedCitation":"(Boydell et al., 2022; Daw et al., 2024; Jahanfar et al., 2024)","previouslyFormattedCitation":"(Boydell et al., 2022; Daw et al., 2024; Jahanfar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(Boydell et al., 2022; Daw et al., 2024; Jahanfar et al.,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Dengan </w:t>
      </w:r>
      <w:r w:rsidRPr="009E5DBF">
        <w:rPr>
          <w:rFonts w:ascii="Book Antiqua" w:hAnsi="Book Antiqua"/>
          <w:sz w:val="24"/>
          <w:szCs w:val="24"/>
          <w:lang w:val="sv-SE"/>
        </w:rPr>
        <w:lastRenderedPageBreak/>
        <w:t xml:space="preserve">demikian, penelitian ini tidak hanya memperluas pemahaman tentang peran champion dalam implementasi layanan kesehatan, tetapi juga memberikan panduan praktis bagi organisasi yang ingin meningkatkan efektivitas inisiatif perubahan mereka melalui identifikasi dan pengembangan champion yang efektif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{"citationItems":[{"id":"ITEM-1","itemData":{"DOI":"10.1016/j.ijscr.2024.109436","ISSN":"22102612","abstract":"Introduction: Intrauterine contraceptive device (IUCD) is a safe and effective method of contraception. It is however rarely associated with complications. Migration of this device to the rectum is very rare. We report a case of IUCD migrating to the rectum with the history of missing IUCD strings. Presentation of case: A 32-year-old multipara presented 8 weeks following IUCD insertion with missing thread, ultrasound scan done showed a viable pregnancy with IUCD in-situ. Following vaginal examination, IUCD could not be retrieved. Pregnancy was allowed to continue for IUCD to be retrieved at delivery. She presented again about 6 weeks later with IUCD strings protruding through the rectum and was subsequently removed. Discussion: Uterine perforation and migration of IUCD into the pelvic organs is an uncommon but major complication following insertion of the device. The risk of perforation appears to depend on type of device, skill of the operator and position of the uterus. Postpartum insertion, lactation and atrophic uterus also increase risk of perforation. Conclusion: perforation and migration of IUCD to the rectum is a rare but possible complication of following insertion of the device. Family planning providers should continue to undergo training and retraining to minimize complications associated with the use of IUCD.","author":[{"dropping-particle":"","family":"Isikhuemen","given":"M. E.","non-dropping-particle":"","parse-names":false,"suffix":""},{"dropping-particle":"","family":"Idolor","given":"A. G.","non-dropping-particle":"","parse-names":false,"suffix":""},{"dropping-particle":"","family":"Uwagboe","given":"C. U.","non-dropping-particle":"","parse-names":false,"suffix":""},{"dropping-particle":"","family":"Sodje","given":"J. D.K.","non-dropping-particle":"","parse-names":false,"suffix":""},{"dropping-particle":"","family":"Anya","given":"C. J.","non-dropping-particle":"","parse-names":false,"suffix":""},{"dropping-particle":"","family":"Okonofua","given":"F. E.","non-dropping-particle":"","parse-names":false,"suffix":""}],"container-title":"International Journal of Surgery Case Reports","id":"ITEM-1","issued":{"date-parts":[["2024"]]},"note":"Cited By (since 2024): 2","title":"Case report of an unusual finding of intrauterine contraceptive device in the rectum","type":"article-journal","volume":"116"},"uris":["http://www.mendeley.com/documents/?uuid=5162fea1-9ec0-4bce-96a4-d7c6ced83f8e"]},{"id":"ITEM-2","itemData":{"DOI":"10.1055/s-0042-1748526","ISSN":"10988785","PMID":"35668653","abstract":"Objective To evaluate the hypothesis that patients with opioid use disorder (OUD), who receive prenatal care in a multidisciplinary, prenatal OUD clinic, have comparable postpartum breastfeeding rates, prenatal and postpartum visit compliance, and postpartum contraceptive use when compared with matched controls without a diagnosis of OUD. Study Design This was a retrospective, matched, cohort study that included all patients who received prenatal care in a multidisciplinary, prenatal OUD clinic-Clinic for Acceptance Recovery and Empowerment (CARE)-between September 2018 and August 2020. These patients were maintained on opioid agonist therapy (OAT) throughout their pregnancy. CARE patients were matched to controls without OUD in a 1:4 ratio for mode of delivery, race, gestational age ± 1 week, and delivery date ± 6 months. The primary outcome was rate of exclusive breastfeeding at maternal discharge. Secondary outcomes included adherence with prenatal care (≥4 prenatal visits), adherence with postpartum care (≥1 postpartum visit), postpartum contraception plan prior to delivery, and type of postpartum contraceptive use. Conditional multivariate logistic regression was used to account for possible confounders in adjusted calculations. Results A total of 210 patients were included (42 CARE and 168 matched controls). Despite having lower rates of adequate prenatal care, 40 CARE patients (95%) were exclusively breastfeeding at discharge resulting in CARE patients being significantly more likely to be breastfeeding at discharge (adjusted relative risk (aRR): 1.28, 95% confidence interval [CI]: 1.05-1.55). CARE patients and controls demonstrated no difference in postpartum visit compliance (86 vs. 81%, aRR: 1.03, 95% CI: 0.76-1.40) or effective, long-term contraception use (48 vs. 48%; aRR: 0.81, 95% CI: 0.36-1.84). Conclusion In the setting of multidisciplinary OUD prenatal care during pregnancy, patients with OUD were more likely to be breastfeeding at the time of discharge than matched controls, with no difference in postpartum visit compliance or effective, long-term contraception. Key Points Women with OUD are more likely to breastfeed when engaged in a multidisciplinary prenatal clinic. Women with OUD had no difference in LARC use when engaged in a multidisciplinary prenatal clinic. Women with OUD had no difference in postpartum visit rate in a multidisciplinary prenatal clinic.","author":[{"dropping-particle":"","family":"Hensel","given":"Drew","non-dropping-particle":"","parse-names":false,"suffix":""},{"dropping-particle":"El","family":"Helou","given":"Nicole","non-dropping-particle":"","parse-names":false,"suffix":""},{"dropping-particle":"","family":"Zhang","given":"Fan","non-dropping-particle":"","parse-names":false,"suffix":""},{"dropping-particle":"","family":"Stout","given":"Molly J.","non-dropping-particle":"","parse-names":false,"suffix":""},{"dropping-particle":"","family":"Raghuraman","given":"Nandini","non-dropping-particle":"","parse-names":false,"suffix":""},{"dropping-particle":"","family":"Friedman","given":"Hayley","non-dropping-particle":"","parse-names":false,"suffix":""},{"dropping-particle":"","family":"Carter","given":"Ebony","non-dropping-particle":"","parse-names":false,"suffix":""},{"dropping-particle":"","family":"Odibo","given":"Anthony O.","non-dropping-particle":"","parse-names":false,"suffix":""},{"dropping-particle":"","family":"Kelly","given":"Jeannie C.","non-dropping-particle":"","parse-names":false,"suffix":""}],"container-title":"American Journal of Perinatology","id":"ITEM-2","issue":"7","issued":{"date-parts":[["2024"]]},"note":"Cited By (since 2024): 1","page":"884-890","title":"The Impact of a Multidisciplinary Opioid Use Disorder Prenatal Clinic on Breastfeeding Rates and Postpartum Care","type":"article-journal","volume":"41"},"uris":["http://www.mendeley.com/documents/?uuid=dc2733b4-eaee-4d16-b17d-2851eb271447"]},{"id":"ITEM-3","itemData":{"DOI":"10.1016/j.contraception.2024.110512","ISSN":"18790518","PMID":"38852698","abstract":"Objectives: This study aimed to determine the factors contributing to racial and ethnic disparities in the use of immediate postpartum, long-acting reversible contraception (IPP LARC) and permanent contraception among Medicaid recipients. Study design: We conducted a cross-sectional study using 3 years of national Medicaid claims data to examine the rates of IPP LARC use alone and a composite measure of postpartum permanent contraception and IPP LARC within 7 days of delivery by race and ethnicity. We used a Blinder–Oaxaca model to quantify the extent to which medical complexity, age, rurality, mode of delivery, and year explained differences in outcomes among different minoritized groups in comparison to non-Hispanic White women. Results: Our study sample contained 1,729,663 deliveries occurring from 2016 through 2018 among 1,605,199 people living in 16 states. IPP LARC use rates were highest among Black (2.2%), followed by American Indian and Alaska Native at 2.1% and Hawaiian/Pacific Islander beneficiaries at 1.9%, Hispanic (all races) at 1.2%, and Asian at 1.0%. IPP LARC was lowest among White beneficiaries (0.8%). Medical complexity, age, rurality, year, and mode of delivery explained only 12.3% of the difference in IPP LARC rates between Black and White beneficiaries. Postpartum permanent contraception was highest among White (7.6%), Hispanic (7.2%), and American Indian and Alaska Native (6.8%), followed by Black (6.3%), Hawaiian/Pacific Islander (5.1%) and lowest among Asian women (4.1%). When we examined the use of IPP LARC or postpartum permanent contraception together, these same factors explained 94.4% of the differences between Black and White beneficiaries. Conclusions: While differences in the use of IPP LARC by race and ethnicity were identified, our findings suggest that overall use of inpatient highly effective contraception are similar across racial and ethnic groups. Implications: When IPP LARC and postpartum permanent contraception are examined jointly, their use is similar across racial and ethnic groups.","author":[{"dropping-particle":"","family":"Rodriguez","given":"Maria I.","non-dropping-particle":"","parse-names":false,"suffix":""},{"dropping-particle":"","family":"Meath","given":"Thomas H.A.","non-dropping-particle":"","parse-names":false,"suffix":""},{"dropping-particle":"","family":"Watson","given":"Kelsey","non-dropping-particle":"","parse-names":false,"suffix":""},{"dropping-particle":"","family":"Daly","given":"Ashley","non-dropping-particle":"","parse-names":false,"suffix":""},{"dropping-particle":"","family":"McConnell","given":"K. John","non-dropping-particle":"","parse-names":false,"suffix":""},{"dropping-particle":"","family":"Kim","given":"Hyunjee","non-dropping-particle":"","parse-names":false,"suffix":""}],"container-title":"Contraception","id":"ITEM-3","issued":{"date-parts":[["2024"]]},"title":"Decomposition analysis of racial and ethnic differences in receipt of immediate postpartum, long-acting, reversible, and permanent contraception","type":"article-journal"},"uris":["http://www.mendeley.com/documents/?uuid=79da1242-bb61-49e7-b7b4-1ca637efe452"]}],"mendeley":{"formattedCitation":"(Hensel et al., 2024; Isikhuemen et al., 2024; Rodriguez et al., 2024)","plainTextFormattedCitation":"(Hensel et al., 2024; Isikhuemen et al., 2024; Rodriguez et al., 2024)","previouslyFormattedCitation":"(Hensel et al., 2024; Isikhuemen et al., 2024; Rodriguez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(Hensel et al., 2024; Isikhuemen et al., 2024; Rodriguez et al., 2024)</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532E3457" w14:textId="7025A0D0" w:rsidR="007A0A86" w:rsidRPr="009E5DBF" w:rsidRDefault="009E5DBF" w:rsidP="009E5DBF">
      <w:pPr>
        <w:pStyle w:val="regular"/>
        <w:spacing w:line="240" w:lineRule="auto"/>
        <w:ind w:firstLine="567"/>
        <w:contextualSpacing/>
        <w:rPr>
          <w:rFonts w:ascii="Book Antiqua" w:hAnsi="Book Antiqua" w:cs="Times New Roman"/>
          <w:sz w:val="24"/>
          <w:szCs w:val="24"/>
        </w:rPr>
      </w:pPr>
      <w:r w:rsidRPr="009E5DBF">
        <w:rPr>
          <w:rFonts w:ascii="Book Antiqua" w:hAnsi="Book Antiqua" w:cs="Times New Roman"/>
          <w:sz w:val="24"/>
          <w:szCs w:val="24"/>
          <w:lang w:val="sv-SE"/>
        </w:rPr>
        <w:t xml:space="preserve">Tujuan penelitian ini adalah untuk mengidentifikasi dan menggambarkan atribut-atribut </w:t>
      </w:r>
      <w:proofErr w:type="gramStart"/>
      <w:r w:rsidRPr="009E5DBF">
        <w:rPr>
          <w:rFonts w:ascii="Book Antiqua" w:hAnsi="Book Antiqua" w:cs="Times New Roman"/>
          <w:sz w:val="24"/>
          <w:szCs w:val="24"/>
          <w:lang w:val="sv-SE"/>
        </w:rPr>
        <w:t>champion yang</w:t>
      </w:r>
      <w:proofErr w:type="gramEnd"/>
      <w:r w:rsidRPr="009E5DBF">
        <w:rPr>
          <w:rFonts w:ascii="Book Antiqua" w:hAnsi="Book Antiqua" w:cs="Times New Roman"/>
          <w:sz w:val="24"/>
          <w:szCs w:val="24"/>
          <w:lang w:val="sv-SE"/>
        </w:rPr>
        <w:t xml:space="preserve"> mempengaruhi hasil dari upaya perubahan layanan kesehatan. Dengan menggunakan perawatan kontrasepsi pascapersalinan sebagai studi kasus, kami bertujuan untuk mengeksplorasi bagaimana atribut-atribut pribadi dan profesional </w:t>
      </w:r>
      <w:proofErr w:type="gramStart"/>
      <w:r w:rsidRPr="009E5DBF">
        <w:rPr>
          <w:rFonts w:ascii="Book Antiqua" w:hAnsi="Book Antiqua" w:cs="Times New Roman"/>
          <w:sz w:val="24"/>
          <w:szCs w:val="24"/>
          <w:lang w:val="sv-SE"/>
        </w:rPr>
        <w:t>dari champion</w:t>
      </w:r>
      <w:proofErr w:type="gramEnd"/>
      <w:r w:rsidRPr="009E5DBF">
        <w:rPr>
          <w:rFonts w:ascii="Book Antiqua" w:hAnsi="Book Antiqua" w:cs="Times New Roman"/>
          <w:sz w:val="24"/>
          <w:szCs w:val="24"/>
          <w:lang w:val="sv-SE"/>
        </w:rPr>
        <w:t xml:space="preserve"> berinteraksi dengan konteks organisasi untuk mempengaruhi keberhasilan implementasi</w:t>
      </w:r>
    </w:p>
    <w:p w14:paraId="189A075F" w14:textId="02E25E22" w:rsidR="00827CCE" w:rsidRPr="009E5DBF" w:rsidRDefault="007F48C9" w:rsidP="009E5DBF">
      <w:pPr>
        <w:tabs>
          <w:tab w:val="left" w:pos="2560"/>
        </w:tabs>
        <w:ind w:firstLine="284"/>
        <w:jc w:val="both"/>
        <w:rPr>
          <w:rFonts w:ascii="Book Antiqua" w:hAnsi="Book Antiqua"/>
          <w:color w:val="000000" w:themeColor="text1"/>
          <w:sz w:val="24"/>
          <w:szCs w:val="24"/>
          <w:lang w:val="vi-VN"/>
        </w:rPr>
      </w:pPr>
      <w:r w:rsidRPr="009E5DBF">
        <w:rPr>
          <w:rFonts w:ascii="Book Antiqua" w:hAnsi="Book Antiqua"/>
          <w:color w:val="000000" w:themeColor="text1"/>
          <w:sz w:val="24"/>
          <w:szCs w:val="24"/>
          <w:lang w:val="vi-VN"/>
        </w:rPr>
        <w:t xml:space="preserve"> </w:t>
      </w:r>
      <w:r w:rsidR="009E5DBF" w:rsidRPr="009E5DBF">
        <w:rPr>
          <w:rFonts w:ascii="Book Antiqua" w:hAnsi="Book Antiqua"/>
          <w:color w:val="000000" w:themeColor="text1"/>
          <w:sz w:val="24"/>
          <w:szCs w:val="24"/>
          <w:lang w:val="vi-VN"/>
        </w:rPr>
        <w:tab/>
      </w:r>
    </w:p>
    <w:p w14:paraId="1AC4B258" w14:textId="49306F66" w:rsidR="002E617E" w:rsidRPr="009E5DBF" w:rsidRDefault="000D1377" w:rsidP="00380179">
      <w:pPr>
        <w:tabs>
          <w:tab w:val="left" w:pos="426"/>
        </w:tabs>
        <w:rPr>
          <w:rFonts w:ascii="Book Antiqua" w:hAnsi="Book Antiqua"/>
          <w:b/>
          <w:bCs/>
          <w:sz w:val="24"/>
          <w:szCs w:val="24"/>
          <w:lang w:val="id-ID"/>
        </w:rPr>
      </w:pPr>
      <w:r w:rsidRPr="009E5DBF">
        <w:rPr>
          <w:rFonts w:ascii="Book Antiqua" w:hAnsi="Book Antiqua"/>
          <w:b/>
          <w:bCs/>
          <w:sz w:val="24"/>
          <w:szCs w:val="24"/>
        </w:rPr>
        <w:t>KAJIAN LITERATUR</w:t>
      </w:r>
    </w:p>
    <w:p w14:paraId="6F1933E7" w14:textId="77777777" w:rsidR="00B75E6C" w:rsidRPr="00B75E6C" w:rsidRDefault="00B75E6C" w:rsidP="00B75E6C">
      <w:pPr>
        <w:jc w:val="both"/>
        <w:rPr>
          <w:rFonts w:ascii="Book Antiqua" w:hAnsi="Book Antiqua"/>
          <w:sz w:val="24"/>
          <w:szCs w:val="24"/>
        </w:rPr>
      </w:pPr>
      <w:r w:rsidRPr="00B75E6C">
        <w:rPr>
          <w:rFonts w:ascii="Book Antiqua" w:hAnsi="Book Antiqua"/>
          <w:b/>
          <w:bCs/>
          <w:sz w:val="24"/>
          <w:szCs w:val="24"/>
        </w:rPr>
        <w:t xml:space="preserve">Peran Champion </w:t>
      </w:r>
      <w:proofErr w:type="spellStart"/>
      <w:r w:rsidRPr="00B75E6C">
        <w:rPr>
          <w:rFonts w:ascii="Book Antiqua" w:hAnsi="Book Antiqua"/>
          <w:b/>
          <w:bCs/>
          <w:sz w:val="24"/>
          <w:szCs w:val="24"/>
        </w:rPr>
        <w:t>dalam</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Implementasi</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Perubahan</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Layanan</w:t>
      </w:r>
      <w:proofErr w:type="spellEnd"/>
      <w:r w:rsidRPr="00B75E6C">
        <w:rPr>
          <w:rFonts w:ascii="Book Antiqua" w:hAnsi="Book Antiqua"/>
          <w:b/>
          <w:bCs/>
          <w:sz w:val="24"/>
          <w:szCs w:val="24"/>
        </w:rPr>
        <w:t xml:space="preserve"> Kesehatan</w:t>
      </w:r>
    </w:p>
    <w:p w14:paraId="34E91742" w14:textId="77777777" w:rsidR="00B75E6C" w:rsidRDefault="00B75E6C" w:rsidP="00B75E6C">
      <w:pPr>
        <w:jc w:val="both"/>
        <w:rPr>
          <w:rFonts w:ascii="Book Antiqua" w:hAnsi="Book Antiqua"/>
          <w:sz w:val="24"/>
          <w:szCs w:val="24"/>
        </w:rPr>
      </w:pPr>
      <w:r w:rsidRPr="00B75E6C">
        <w:rPr>
          <w:rFonts w:ascii="Book Antiqua" w:hAnsi="Book Antiqua"/>
          <w:sz w:val="24"/>
          <w:szCs w:val="24"/>
        </w:rPr>
        <w:t xml:space="preserve">Peran champion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sektor</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kesehatan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telah</w:t>
      </w:r>
      <w:proofErr w:type="spellEnd"/>
      <w:r w:rsidRPr="00B75E6C">
        <w:rPr>
          <w:rFonts w:ascii="Book Antiqua" w:hAnsi="Book Antiqua"/>
          <w:sz w:val="24"/>
          <w:szCs w:val="24"/>
        </w:rPr>
        <w:t xml:space="preserve"> lama </w:t>
      </w:r>
      <w:proofErr w:type="spellStart"/>
      <w:r w:rsidRPr="00B75E6C">
        <w:rPr>
          <w:rFonts w:ascii="Book Antiqua" w:hAnsi="Book Antiqua"/>
          <w:sz w:val="24"/>
          <w:szCs w:val="24"/>
        </w:rPr>
        <w:t>diakui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sebagai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kunci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keberhasilan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inovasi</w:t>
      </w:r>
      <w:proofErr w:type="spellEnd"/>
      <w:r w:rsidRPr="00B75E6C">
        <w:rPr>
          <w:rFonts w:ascii="Book Antiqua" w:hAnsi="Book Antiqua"/>
          <w:sz w:val="24"/>
          <w:szCs w:val="24"/>
        </w:rPr>
        <w:t xml:space="preserve">. Champion </w:t>
      </w:r>
      <w:proofErr w:type="spellStart"/>
      <w:r w:rsidRPr="00B75E6C">
        <w:rPr>
          <w:rFonts w:ascii="Book Antiqua" w:hAnsi="Book Antiqua"/>
          <w:sz w:val="24"/>
          <w:szCs w:val="24"/>
        </w:rPr>
        <w:t>adalah</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individu</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berperan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aktif</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memimpin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memfasilitasi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mendorong</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memainkan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peran</w:t>
      </w:r>
      <w:proofErr w:type="spellEnd"/>
      <w:r w:rsidRPr="00B75E6C">
        <w:rPr>
          <w:rFonts w:ascii="Book Antiqua" w:hAnsi="Book Antiqua"/>
          <w:sz w:val="24"/>
          <w:szCs w:val="24"/>
        </w:rPr>
        <w:t xml:space="preserve"> yang sangat </w:t>
      </w:r>
      <w:proofErr w:type="spellStart"/>
      <w:r w:rsidRPr="00B75E6C">
        <w:rPr>
          <w:rFonts w:ascii="Book Antiqua" w:hAnsi="Book Antiqua"/>
          <w:sz w:val="24"/>
          <w:szCs w:val="24"/>
        </w:rPr>
        <w:t>penting</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mengatasi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hambatan-hambatan</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ada</w:t>
      </w:r>
      <w:proofErr w:type="spellEnd"/>
      <w:r w:rsidRPr="00B75E6C">
        <w:rPr>
          <w:rFonts w:ascii="Book Antiqua" w:hAnsi="Book Antiqua"/>
          <w:sz w:val="24"/>
          <w:szCs w:val="24"/>
        </w:rPr>
        <w:t xml:space="preserve"> di </w:t>
      </w:r>
      <w:proofErr w:type="spellStart"/>
      <w:r w:rsidRPr="00B75E6C">
        <w:rPr>
          <w:rFonts w:ascii="Book Antiqua" w:hAnsi="Book Antiqua"/>
          <w:sz w:val="24"/>
          <w:szCs w:val="24"/>
        </w:rPr>
        <w:t>tingkat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memfasilitasi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penerapan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inovasi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meningkatkan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kualitas</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layanan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kesehatan</w:t>
      </w:r>
      <w:proofErr w:type="spellEnd"/>
      <w:r w:rsidRPr="00B75E6C">
        <w:rPr>
          <w:rFonts w:ascii="Book Antiqua" w:hAnsi="Book Antiqua"/>
          <w:sz w:val="24"/>
          <w:szCs w:val="24"/>
        </w:rPr>
        <w:t xml:space="preserve"> (Santos et al., 2022). Champion </w:t>
      </w:r>
      <w:proofErr w:type="spellStart"/>
      <w:r w:rsidRPr="00B75E6C">
        <w:rPr>
          <w:rFonts w:ascii="Book Antiqua" w:hAnsi="Book Antiqua"/>
          <w:sz w:val="24"/>
          <w:szCs w:val="24"/>
        </w:rPr>
        <w:t>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mempercepat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penerapan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teknologi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baru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melakukan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praktik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berdasarkan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bukti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kebijakan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kesehatan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dengan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mengurangi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resistensi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meningkatkan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dukungan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dari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berbagai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pihak</w:t>
      </w:r>
      <w:proofErr w:type="spellEnd"/>
      <w:r w:rsidRPr="00B75E6C">
        <w:rPr>
          <w:rFonts w:ascii="Book Antiqua" w:hAnsi="Book Antiqua"/>
          <w:sz w:val="24"/>
          <w:szCs w:val="24"/>
        </w:rPr>
        <w:t xml:space="preserve"> di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(Pettersen et al., 2024).</w:t>
      </w:r>
    </w:p>
    <w:p w14:paraId="7735CD45" w14:textId="77777777" w:rsidR="00B75E6C" w:rsidRPr="00B75E6C" w:rsidRDefault="00B75E6C" w:rsidP="00B75E6C">
      <w:pPr>
        <w:jc w:val="both"/>
        <w:rPr>
          <w:rFonts w:ascii="Book Antiqua" w:hAnsi="Book Antiqua"/>
          <w:sz w:val="24"/>
          <w:szCs w:val="24"/>
        </w:rPr>
      </w:pPr>
    </w:p>
    <w:p w14:paraId="6D2E1FDB" w14:textId="77777777" w:rsidR="00B75E6C" w:rsidRPr="00B75E6C" w:rsidRDefault="00B75E6C" w:rsidP="00B75E6C">
      <w:pPr>
        <w:jc w:val="both"/>
        <w:rPr>
          <w:rFonts w:ascii="Book Antiqua" w:hAnsi="Book Antiqua"/>
          <w:sz w:val="24"/>
          <w:szCs w:val="24"/>
        </w:rPr>
      </w:pPr>
      <w:proofErr w:type="spellStart"/>
      <w:r w:rsidRPr="00B75E6C">
        <w:rPr>
          <w:rFonts w:ascii="Book Antiqua" w:hAnsi="Book Antiqua"/>
          <w:b/>
          <w:bCs/>
          <w:sz w:val="24"/>
          <w:szCs w:val="24"/>
        </w:rPr>
        <w:t>Atribut</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Kunci</w:t>
      </w:r>
      <w:proofErr w:type="spellEnd"/>
      <w:r w:rsidRPr="00B75E6C">
        <w:rPr>
          <w:rFonts w:ascii="Book Antiqua" w:hAnsi="Book Antiqua"/>
          <w:b/>
          <w:bCs/>
          <w:sz w:val="24"/>
          <w:szCs w:val="24"/>
        </w:rPr>
        <w:t xml:space="preserve"> Champion</w:t>
      </w:r>
    </w:p>
    <w:p w14:paraId="1D890F72" w14:textId="77777777" w:rsidR="00B75E6C" w:rsidRPr="00B75E6C" w:rsidRDefault="00B75E6C" w:rsidP="00B75E6C">
      <w:pPr>
        <w:jc w:val="both"/>
        <w:rPr>
          <w:rFonts w:ascii="Book Antiqua" w:hAnsi="Book Antiqua"/>
          <w:sz w:val="24"/>
          <w:szCs w:val="24"/>
        </w:rPr>
      </w:pPr>
      <w:proofErr w:type="spellStart"/>
      <w:r w:rsidRPr="00B75E6C">
        <w:rPr>
          <w:rFonts w:ascii="Book Antiqua" w:hAnsi="Book Antiqua"/>
          <w:sz w:val="24"/>
          <w:szCs w:val="24"/>
        </w:rPr>
        <w:t>Terdapat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sejumlah</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atribut</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mempengaruhi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efektivitas</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pelaksanaan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layanan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kesehatan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Beberapa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penelitian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mengidentifikasi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atribut-atribut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utama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pengaruh</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kepemilikan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kehadiran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fisik</w:t>
      </w:r>
      <w:proofErr w:type="spellEnd"/>
      <w:r w:rsidRPr="00B75E6C">
        <w:rPr>
          <w:rFonts w:ascii="Book Antiqua" w:hAnsi="Book Antiqua"/>
          <w:sz w:val="24"/>
          <w:szCs w:val="24"/>
        </w:rPr>
        <w:t xml:space="preserve"> di </w:t>
      </w:r>
      <w:proofErr w:type="spellStart"/>
      <w:r w:rsidRPr="00B75E6C">
        <w:rPr>
          <w:rFonts w:ascii="Book Antiqua" w:hAnsi="Book Antiqua"/>
          <w:sz w:val="24"/>
          <w:szCs w:val="24"/>
        </w:rPr>
        <w:t>titik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ketabahan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kemampuan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persuasif</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gaya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kepemimpinan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partisipatif</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Pengaruh</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dimiliki</w:t>
      </w:r>
      <w:proofErr w:type="spellEnd"/>
      <w:r w:rsidRPr="00B75E6C">
        <w:rPr>
          <w:rFonts w:ascii="Book Antiqua" w:hAnsi="Book Antiqua"/>
          <w:sz w:val="24"/>
          <w:szCs w:val="24"/>
        </w:rPr>
        <w:t xml:space="preserve"> oleh para </w:t>
      </w:r>
      <w:proofErr w:type="spellStart"/>
      <w:r w:rsidRPr="00B75E6C">
        <w:rPr>
          <w:rFonts w:ascii="Book Antiqua" w:hAnsi="Book Antiqua"/>
          <w:sz w:val="24"/>
          <w:szCs w:val="24"/>
        </w:rPr>
        <w:t>pemimpin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memungkinkan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untuk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membentuk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perilaku</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pendapat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rekan-rekannya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(Brewington et al., 2024). </w:t>
      </w:r>
      <w:proofErr w:type="spellStart"/>
      <w:r w:rsidRPr="00B75E6C">
        <w:rPr>
          <w:rFonts w:ascii="Book Antiqua" w:hAnsi="Book Antiqua"/>
          <w:sz w:val="24"/>
          <w:szCs w:val="24"/>
        </w:rPr>
        <w:t>Kepemilikan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terhadap</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proyek</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diimplementasikan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memberi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rasa </w:t>
      </w:r>
      <w:proofErr w:type="spellStart"/>
      <w:r w:rsidRPr="00B75E6C">
        <w:rPr>
          <w:rFonts w:ascii="Book Antiqua" w:hAnsi="Book Antiqua"/>
          <w:sz w:val="24"/>
          <w:szCs w:val="24"/>
        </w:rPr>
        <w:t>tanggung</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jawab</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pribadi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tinggi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berdampak</w:t>
      </w:r>
      <w:proofErr w:type="spellEnd"/>
      <w:r w:rsidRPr="00B75E6C">
        <w:rPr>
          <w:rFonts w:ascii="Book Antiqua" w:hAnsi="Book Antiqua"/>
          <w:sz w:val="24"/>
          <w:szCs w:val="24"/>
        </w:rPr>
        <w:t xml:space="preserve"> pada </w:t>
      </w:r>
      <w:proofErr w:type="spellStart"/>
      <w:r w:rsidRPr="00B75E6C">
        <w:rPr>
          <w:rFonts w:ascii="Book Antiqua" w:hAnsi="Book Antiqua"/>
          <w:sz w:val="24"/>
          <w:szCs w:val="24"/>
        </w:rPr>
        <w:t>komitmen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menghadapi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tantangan</w:t>
      </w:r>
      <w:proofErr w:type="spellEnd"/>
      <w:r w:rsidRPr="00B75E6C">
        <w:rPr>
          <w:rFonts w:ascii="Book Antiqua" w:hAnsi="Book Antiqua"/>
          <w:sz w:val="24"/>
          <w:szCs w:val="24"/>
        </w:rPr>
        <w:t xml:space="preserve"> (Santos et al., 2022). </w:t>
      </w:r>
      <w:proofErr w:type="spellStart"/>
      <w:r w:rsidRPr="00B75E6C">
        <w:rPr>
          <w:rFonts w:ascii="Book Antiqua" w:hAnsi="Book Antiqua"/>
          <w:sz w:val="24"/>
          <w:szCs w:val="24"/>
        </w:rPr>
        <w:t>Selain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itu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kehadiran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juara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fisik</w:t>
      </w:r>
      <w:proofErr w:type="spellEnd"/>
      <w:r w:rsidRPr="00B75E6C">
        <w:rPr>
          <w:rFonts w:ascii="Book Antiqua" w:hAnsi="Book Antiqua"/>
          <w:sz w:val="24"/>
          <w:szCs w:val="24"/>
        </w:rPr>
        <w:t xml:space="preserve"> di </w:t>
      </w:r>
      <w:proofErr w:type="spellStart"/>
      <w:r w:rsidRPr="00B75E6C">
        <w:rPr>
          <w:rFonts w:ascii="Book Antiqua" w:hAnsi="Book Antiqua"/>
          <w:sz w:val="24"/>
          <w:szCs w:val="24"/>
        </w:rPr>
        <w:t>lokasi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memungkinkan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untuk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memahami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dinamika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sehari-hari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mengatasi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hambatan</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muncul</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secara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langsung</w:t>
      </w:r>
      <w:proofErr w:type="spellEnd"/>
      <w:r w:rsidRPr="00B75E6C">
        <w:rPr>
          <w:rFonts w:ascii="Book Antiqua" w:hAnsi="Book Antiqua"/>
          <w:sz w:val="24"/>
          <w:szCs w:val="24"/>
        </w:rPr>
        <w:t xml:space="preserve"> (Bhatia et al., 2024).</w:t>
      </w:r>
    </w:p>
    <w:p w14:paraId="6610C3AE" w14:textId="77777777" w:rsidR="00B75E6C" w:rsidRDefault="00B75E6C" w:rsidP="00B75E6C">
      <w:pPr>
        <w:spacing w:before="100" w:beforeAutospacing="1" w:after="100" w:afterAutospacing="1"/>
        <w:jc w:val="both"/>
        <w:rPr>
          <w:rFonts w:ascii="Book Antiqua" w:hAnsi="Book Antiqua"/>
          <w:b/>
          <w:bCs/>
          <w:sz w:val="24"/>
          <w:szCs w:val="24"/>
        </w:rPr>
      </w:pPr>
    </w:p>
    <w:p w14:paraId="2E2237B2" w14:textId="77777777" w:rsidR="00B75E6C" w:rsidRPr="00B75E6C" w:rsidRDefault="00B75E6C" w:rsidP="00B75E6C">
      <w:pPr>
        <w:jc w:val="both"/>
        <w:rPr>
          <w:rFonts w:ascii="Book Antiqua" w:hAnsi="Book Antiqua"/>
          <w:sz w:val="24"/>
          <w:szCs w:val="24"/>
        </w:rPr>
      </w:pPr>
      <w:proofErr w:type="spellStart"/>
      <w:r w:rsidRPr="00B75E6C">
        <w:rPr>
          <w:rFonts w:ascii="Book Antiqua" w:hAnsi="Book Antiqua"/>
          <w:b/>
          <w:bCs/>
          <w:sz w:val="24"/>
          <w:szCs w:val="24"/>
        </w:rPr>
        <w:t>Konteks</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Organisasi</w:t>
      </w:r>
      <w:proofErr w:type="spellEnd"/>
      <w:r w:rsidRPr="00B75E6C">
        <w:rPr>
          <w:rFonts w:ascii="Book Antiqua" w:hAnsi="Book Antiqua"/>
          <w:b/>
          <w:bCs/>
          <w:sz w:val="24"/>
          <w:szCs w:val="24"/>
        </w:rPr>
        <w:t xml:space="preserve"> dan </w:t>
      </w:r>
      <w:proofErr w:type="spellStart"/>
      <w:r w:rsidRPr="00B75E6C">
        <w:rPr>
          <w:rFonts w:ascii="Book Antiqua" w:hAnsi="Book Antiqua"/>
          <w:b/>
          <w:bCs/>
          <w:sz w:val="24"/>
          <w:szCs w:val="24"/>
        </w:rPr>
        <w:t>Interaksi</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dengan</w:t>
      </w:r>
      <w:proofErr w:type="spellEnd"/>
      <w:r w:rsidRPr="00B75E6C">
        <w:rPr>
          <w:rFonts w:ascii="Book Antiqua" w:hAnsi="Book Antiqua"/>
          <w:b/>
          <w:bCs/>
          <w:sz w:val="24"/>
          <w:szCs w:val="24"/>
        </w:rPr>
        <w:t xml:space="preserve"> Champion</w:t>
      </w:r>
    </w:p>
    <w:p w14:paraId="71BF72BD" w14:textId="77777777" w:rsidR="00B75E6C" w:rsidRDefault="00B75E6C" w:rsidP="00B75E6C">
      <w:pPr>
        <w:jc w:val="both"/>
        <w:rPr>
          <w:rFonts w:ascii="Book Antiqua" w:hAnsi="Book Antiqua"/>
          <w:sz w:val="24"/>
          <w:szCs w:val="24"/>
        </w:rPr>
      </w:pPr>
      <w:proofErr w:type="spellStart"/>
      <w:r w:rsidRPr="00B75E6C">
        <w:rPr>
          <w:rFonts w:ascii="Book Antiqua" w:hAnsi="Book Antiqua"/>
          <w:sz w:val="24"/>
          <w:szCs w:val="24"/>
        </w:rPr>
        <w:t>Keberhasilan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oleh champion </w:t>
      </w:r>
      <w:proofErr w:type="spellStart"/>
      <w:r w:rsidRPr="00B75E6C">
        <w:rPr>
          <w:rFonts w:ascii="Book Antiqua" w:hAnsi="Book Antiqua"/>
          <w:sz w:val="24"/>
          <w:szCs w:val="24"/>
        </w:rPr>
        <w:t>tidak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hanya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bergantung</w:t>
      </w:r>
      <w:proofErr w:type="spellEnd"/>
      <w:r w:rsidRPr="00B75E6C">
        <w:rPr>
          <w:rFonts w:ascii="Book Antiqua" w:hAnsi="Book Antiqua"/>
          <w:sz w:val="24"/>
          <w:szCs w:val="24"/>
        </w:rPr>
        <w:t xml:space="preserve"> pada </w:t>
      </w:r>
      <w:proofErr w:type="spellStart"/>
      <w:r w:rsidRPr="00B75E6C">
        <w:rPr>
          <w:rFonts w:ascii="Book Antiqua" w:hAnsi="Book Antiqua"/>
          <w:sz w:val="24"/>
          <w:szCs w:val="24"/>
        </w:rPr>
        <w:t>atribut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individu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tetapi</w:t>
      </w:r>
      <w:proofErr w:type="spellEnd"/>
      <w:r w:rsidRPr="00B75E6C">
        <w:rPr>
          <w:rFonts w:ascii="Book Antiqua" w:hAnsi="Book Antiqua"/>
          <w:sz w:val="24"/>
          <w:szCs w:val="24"/>
        </w:rPr>
        <w:t xml:space="preserve"> juga pada </w:t>
      </w:r>
      <w:proofErr w:type="spellStart"/>
      <w:r w:rsidRPr="00B75E6C">
        <w:rPr>
          <w:rFonts w:ascii="Book Antiqua" w:hAnsi="Book Antiqua"/>
          <w:sz w:val="24"/>
          <w:szCs w:val="24"/>
        </w:rPr>
        <w:t>konteks</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ada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Konteks</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eksternal</w:t>
      </w:r>
      <w:proofErr w:type="spellEnd"/>
      <w:r w:rsidRPr="00B75E6C">
        <w:rPr>
          <w:rFonts w:ascii="Book Antiqua" w:hAnsi="Book Antiqua"/>
          <w:sz w:val="24"/>
          <w:szCs w:val="24"/>
        </w:rPr>
        <w:t xml:space="preserve"> dan internal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kebijakan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pembayaran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dukungan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manajerial</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serta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budaya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terbuka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terhadap</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memainkan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besar</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keberhasilan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(Rodriguez et al., 2024). </w:t>
      </w:r>
      <w:proofErr w:type="spellStart"/>
      <w:r w:rsidRPr="00B75E6C">
        <w:rPr>
          <w:rFonts w:ascii="Book Antiqua" w:hAnsi="Book Antiqua"/>
          <w:sz w:val="24"/>
          <w:szCs w:val="24"/>
        </w:rPr>
        <w:t>Misalnya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kebijakan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pembayaran</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tidak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mampu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atau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dukungan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manajerial</w:t>
      </w:r>
      <w:proofErr w:type="spellEnd"/>
      <w:r w:rsidRPr="00B75E6C">
        <w:rPr>
          <w:rFonts w:ascii="Book Antiqua" w:hAnsi="Book Antiqua"/>
          <w:sz w:val="24"/>
          <w:szCs w:val="24"/>
        </w:rPr>
        <w:t xml:space="preserve"> </w:t>
      </w:r>
      <w:r w:rsidRPr="00B75E6C">
        <w:rPr>
          <w:rFonts w:ascii="Book Antiqua" w:hAnsi="Book Antiqua"/>
          <w:sz w:val="24"/>
          <w:szCs w:val="24"/>
        </w:rPr>
        <w:lastRenderedPageBreak/>
        <w:t xml:space="preserve">yang </w:t>
      </w:r>
      <w:proofErr w:type="spellStart"/>
      <w:r w:rsidRPr="00B75E6C">
        <w:rPr>
          <w:rFonts w:ascii="Book Antiqua" w:hAnsi="Book Antiqua"/>
          <w:sz w:val="24"/>
          <w:szCs w:val="24"/>
        </w:rPr>
        <w:t>lemah</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menjadi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hambatan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signifikan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layanan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kesehatan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baru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kontrasepsi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pascapersalinan</w:t>
      </w:r>
      <w:proofErr w:type="spellEnd"/>
      <w:r w:rsidRPr="00B75E6C">
        <w:rPr>
          <w:rFonts w:ascii="Book Antiqua" w:hAnsi="Book Antiqua"/>
          <w:sz w:val="24"/>
          <w:szCs w:val="24"/>
        </w:rPr>
        <w:t xml:space="preserve"> (Sharma et al., 2024). </w:t>
      </w:r>
      <w:proofErr w:type="spellStart"/>
      <w:r w:rsidRPr="00B75E6C">
        <w:rPr>
          <w:rFonts w:ascii="Book Antiqua" w:hAnsi="Book Antiqua"/>
          <w:sz w:val="24"/>
          <w:szCs w:val="24"/>
        </w:rPr>
        <w:t>Sebaliknya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memiliki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kebijakan</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mendukung</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terbuka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terhadap</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lebih</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memungkinkan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juara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untuk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berhasil</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memfasilitasi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inovasi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Kawatu</w:t>
      </w:r>
      <w:proofErr w:type="spellEnd"/>
      <w:r w:rsidRPr="00B75E6C">
        <w:rPr>
          <w:rFonts w:ascii="Book Antiqua" w:hAnsi="Book Antiqua"/>
          <w:sz w:val="24"/>
          <w:szCs w:val="24"/>
        </w:rPr>
        <w:t xml:space="preserve"> et al., 2022).</w:t>
      </w:r>
    </w:p>
    <w:p w14:paraId="3E038471" w14:textId="77777777" w:rsidR="00B75E6C" w:rsidRPr="00B75E6C" w:rsidRDefault="00B75E6C" w:rsidP="00B75E6C">
      <w:pPr>
        <w:jc w:val="both"/>
        <w:rPr>
          <w:rFonts w:ascii="Book Antiqua" w:hAnsi="Book Antiqua"/>
          <w:sz w:val="24"/>
          <w:szCs w:val="24"/>
        </w:rPr>
      </w:pPr>
    </w:p>
    <w:p w14:paraId="58A1BD03" w14:textId="77777777" w:rsidR="00B75E6C" w:rsidRPr="00B75E6C" w:rsidRDefault="00B75E6C" w:rsidP="00B75E6C">
      <w:pPr>
        <w:jc w:val="both"/>
        <w:rPr>
          <w:rFonts w:ascii="Book Antiqua" w:hAnsi="Book Antiqua"/>
          <w:sz w:val="24"/>
          <w:szCs w:val="24"/>
        </w:rPr>
      </w:pPr>
      <w:r w:rsidRPr="00B75E6C">
        <w:rPr>
          <w:rFonts w:ascii="Book Antiqua" w:hAnsi="Book Antiqua"/>
          <w:b/>
          <w:bCs/>
          <w:sz w:val="24"/>
          <w:szCs w:val="24"/>
        </w:rPr>
        <w:t xml:space="preserve">Gaya </w:t>
      </w:r>
      <w:proofErr w:type="spellStart"/>
      <w:r w:rsidRPr="00B75E6C">
        <w:rPr>
          <w:rFonts w:ascii="Book Antiqua" w:hAnsi="Book Antiqua"/>
          <w:b/>
          <w:bCs/>
          <w:sz w:val="24"/>
          <w:szCs w:val="24"/>
        </w:rPr>
        <w:t>Kepemimpinan</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dalam</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Implementasi</w:t>
      </w:r>
      <w:proofErr w:type="spellEnd"/>
    </w:p>
    <w:p w14:paraId="4FDCFBC6" w14:textId="77777777" w:rsidR="00B75E6C" w:rsidRDefault="00B75E6C" w:rsidP="00B75E6C">
      <w:pPr>
        <w:jc w:val="both"/>
        <w:rPr>
          <w:rFonts w:ascii="Book Antiqua" w:hAnsi="Book Antiqua"/>
          <w:sz w:val="24"/>
          <w:szCs w:val="24"/>
        </w:rPr>
      </w:pPr>
      <w:r w:rsidRPr="00B75E6C">
        <w:rPr>
          <w:rFonts w:ascii="Book Antiqua" w:hAnsi="Book Antiqua"/>
          <w:sz w:val="24"/>
          <w:szCs w:val="24"/>
        </w:rPr>
        <w:t xml:space="preserve">Gaya </w:t>
      </w:r>
      <w:proofErr w:type="spellStart"/>
      <w:r w:rsidRPr="00B75E6C">
        <w:rPr>
          <w:rFonts w:ascii="Book Antiqua" w:hAnsi="Book Antiqua"/>
          <w:sz w:val="24"/>
          <w:szCs w:val="24"/>
        </w:rPr>
        <w:t>kepemimpinan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juara</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partisipatif</w:t>
      </w:r>
      <w:proofErr w:type="spellEnd"/>
      <w:r w:rsidRPr="00B75E6C">
        <w:rPr>
          <w:rFonts w:ascii="Book Antiqua" w:hAnsi="Book Antiqua"/>
          <w:sz w:val="24"/>
          <w:szCs w:val="24"/>
        </w:rPr>
        <w:t xml:space="preserve"> juga </w:t>
      </w:r>
      <w:proofErr w:type="spellStart"/>
      <w:r w:rsidRPr="00B75E6C">
        <w:rPr>
          <w:rFonts w:ascii="Book Antiqua" w:hAnsi="Book Antiqua"/>
          <w:sz w:val="24"/>
          <w:szCs w:val="24"/>
        </w:rPr>
        <w:t>berperan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penting</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keberhasilan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Kepemimpinan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partisipatif</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melibatkan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berbagai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pemangku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kepentingan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pengambilan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keputusan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meningkatkan</w:t>
      </w:r>
      <w:proofErr w:type="spellEnd"/>
      <w:r w:rsidRPr="00B75E6C">
        <w:rPr>
          <w:rFonts w:ascii="Book Antiqua" w:hAnsi="Book Antiqua"/>
          <w:sz w:val="24"/>
          <w:szCs w:val="24"/>
        </w:rPr>
        <w:t xml:space="preserve"> rasa </w:t>
      </w:r>
      <w:proofErr w:type="spellStart"/>
      <w:r w:rsidRPr="00B75E6C">
        <w:rPr>
          <w:rFonts w:ascii="Book Antiqua" w:hAnsi="Book Antiqua"/>
          <w:sz w:val="24"/>
          <w:szCs w:val="24"/>
        </w:rPr>
        <w:t>keterlibatan</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kepemilikan</w:t>
      </w:r>
      <w:proofErr w:type="spellEnd"/>
      <w:r w:rsidRPr="00B75E6C">
        <w:rPr>
          <w:rFonts w:ascii="Book Antiqua" w:hAnsi="Book Antiqua"/>
          <w:sz w:val="24"/>
          <w:szCs w:val="24"/>
        </w:rPr>
        <w:t xml:space="preserve"> di </w:t>
      </w:r>
      <w:proofErr w:type="spellStart"/>
      <w:r w:rsidRPr="00B75E6C">
        <w:rPr>
          <w:rFonts w:ascii="Book Antiqua" w:hAnsi="Book Antiqua"/>
          <w:sz w:val="24"/>
          <w:szCs w:val="24"/>
        </w:rPr>
        <w:t>kalangan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anggota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tim</w:t>
      </w:r>
      <w:proofErr w:type="spellEnd"/>
      <w:r w:rsidRPr="00B75E6C">
        <w:rPr>
          <w:rFonts w:ascii="Book Antiqua" w:hAnsi="Book Antiqua"/>
          <w:sz w:val="24"/>
          <w:szCs w:val="24"/>
        </w:rPr>
        <w:t xml:space="preserve"> (Wang et al., 2022). </w:t>
      </w:r>
      <w:proofErr w:type="spellStart"/>
      <w:r w:rsidRPr="00B75E6C">
        <w:rPr>
          <w:rFonts w:ascii="Book Antiqua" w:hAnsi="Book Antiqua"/>
          <w:sz w:val="24"/>
          <w:szCs w:val="24"/>
        </w:rPr>
        <w:t>Juara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dengan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gaya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kepemimpinan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sering</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mendengarkan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masukan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dari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rekan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kerja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mereka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mengatasi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kekhawatiran</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muncul</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memodifikasi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strategi </w:t>
      </w:r>
      <w:proofErr w:type="spellStart"/>
      <w:r w:rsidRPr="00B75E6C">
        <w:rPr>
          <w:rFonts w:ascii="Book Antiqua" w:hAnsi="Book Antiqua"/>
          <w:sz w:val="24"/>
          <w:szCs w:val="24"/>
        </w:rPr>
        <w:t>secara</w:t>
      </w:r>
      <w:proofErr w:type="spellEnd"/>
      <w:r w:rsidRPr="00B75E6C">
        <w:rPr>
          <w:rFonts w:ascii="Book Antiqua" w:hAnsi="Book Antiqua"/>
          <w:sz w:val="24"/>
          <w:szCs w:val="24"/>
        </w:rPr>
        <w:t xml:space="preserve"> real time </w:t>
      </w:r>
      <w:proofErr w:type="spellStart"/>
      <w:r w:rsidRPr="00B75E6C">
        <w:rPr>
          <w:rFonts w:ascii="Book Antiqua" w:hAnsi="Book Antiqua"/>
          <w:sz w:val="24"/>
          <w:szCs w:val="24"/>
        </w:rPr>
        <w:t>untuk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memastikan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alur</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kerja</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efektif</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efisien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Sebaliknya</w:t>
      </w:r>
      <w:proofErr w:type="spellEnd"/>
      <w:r w:rsidRPr="00B75E6C">
        <w:rPr>
          <w:rFonts w:ascii="Book Antiqua" w:hAnsi="Book Antiqua"/>
          <w:sz w:val="24"/>
          <w:szCs w:val="24"/>
        </w:rPr>
        <w:t xml:space="preserve">, champion yang </w:t>
      </w:r>
      <w:proofErr w:type="spellStart"/>
      <w:r w:rsidRPr="00B75E6C">
        <w:rPr>
          <w:rFonts w:ascii="Book Antiqua" w:hAnsi="Book Antiqua"/>
          <w:sz w:val="24"/>
          <w:szCs w:val="24"/>
        </w:rPr>
        <w:t>kurang</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melibatkan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anggota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tim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proses </w:t>
      </w:r>
      <w:proofErr w:type="spellStart"/>
      <w:r w:rsidRPr="00B75E6C">
        <w:rPr>
          <w:rFonts w:ascii="Book Antiqua" w:hAnsi="Book Antiqua"/>
          <w:sz w:val="24"/>
          <w:szCs w:val="24"/>
        </w:rPr>
        <w:t>perubahan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menghadapi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resistensi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lebih</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besar</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kesulitan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mempertahankan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(Santos et al., 2022).</w:t>
      </w:r>
    </w:p>
    <w:p w14:paraId="3F086201" w14:textId="77777777" w:rsidR="00B75E6C" w:rsidRPr="00B75E6C" w:rsidRDefault="00B75E6C" w:rsidP="00B75E6C">
      <w:pPr>
        <w:jc w:val="both"/>
        <w:rPr>
          <w:rFonts w:ascii="Book Antiqua" w:hAnsi="Book Antiqua"/>
          <w:sz w:val="24"/>
          <w:szCs w:val="24"/>
        </w:rPr>
      </w:pPr>
    </w:p>
    <w:p w14:paraId="6BB3B30B" w14:textId="77777777" w:rsidR="00B75E6C" w:rsidRPr="00B75E6C" w:rsidRDefault="00B75E6C" w:rsidP="00B75E6C">
      <w:pPr>
        <w:jc w:val="both"/>
        <w:rPr>
          <w:rFonts w:ascii="Book Antiqua" w:hAnsi="Book Antiqua"/>
          <w:sz w:val="24"/>
          <w:szCs w:val="24"/>
        </w:rPr>
      </w:pPr>
      <w:proofErr w:type="spellStart"/>
      <w:r w:rsidRPr="00B75E6C">
        <w:rPr>
          <w:rFonts w:ascii="Book Antiqua" w:hAnsi="Book Antiqua"/>
          <w:b/>
          <w:bCs/>
          <w:sz w:val="24"/>
          <w:szCs w:val="24"/>
        </w:rPr>
        <w:t>Konteks</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Implementasi</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Kontrasepsi</w:t>
      </w:r>
      <w:proofErr w:type="spellEnd"/>
      <w:r w:rsidRPr="00B75E6C">
        <w:rPr>
          <w:rFonts w:ascii="Book Antiqua" w:hAnsi="Book Antiqua"/>
          <w:b/>
          <w:bCs/>
          <w:sz w:val="24"/>
          <w:szCs w:val="24"/>
        </w:rPr>
        <w:t xml:space="preserve"> </w:t>
      </w:r>
      <w:proofErr w:type="spellStart"/>
      <w:r w:rsidRPr="00B75E6C">
        <w:rPr>
          <w:rFonts w:ascii="Book Antiqua" w:hAnsi="Book Antiqua"/>
          <w:b/>
          <w:bCs/>
          <w:sz w:val="24"/>
          <w:szCs w:val="24"/>
        </w:rPr>
        <w:t>Pascapersalinan</w:t>
      </w:r>
      <w:proofErr w:type="spellEnd"/>
    </w:p>
    <w:p w14:paraId="67E89E36" w14:textId="77777777" w:rsidR="00B75E6C" w:rsidRPr="00B75E6C" w:rsidRDefault="00B75E6C" w:rsidP="00B75E6C">
      <w:pPr>
        <w:jc w:val="both"/>
        <w:rPr>
          <w:rFonts w:ascii="Book Antiqua" w:hAnsi="Book Antiqua"/>
          <w:sz w:val="24"/>
          <w:szCs w:val="24"/>
        </w:rPr>
      </w:pPr>
      <w:proofErr w:type="spellStart"/>
      <w:r w:rsidRPr="00B75E6C">
        <w:rPr>
          <w:rFonts w:ascii="Book Antiqua" w:hAnsi="Book Antiqua"/>
          <w:sz w:val="24"/>
          <w:szCs w:val="24"/>
        </w:rPr>
        <w:t>Studi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terkait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layanan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kontrasepsi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pascapersalinan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menunjukkan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bahwa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keberhasilan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sangat </w:t>
      </w:r>
      <w:proofErr w:type="spellStart"/>
      <w:r w:rsidRPr="00B75E6C">
        <w:rPr>
          <w:rFonts w:ascii="Book Antiqua" w:hAnsi="Book Antiqua"/>
          <w:sz w:val="24"/>
          <w:szCs w:val="24"/>
        </w:rPr>
        <w:t>bergantung</w:t>
      </w:r>
      <w:proofErr w:type="spellEnd"/>
      <w:r w:rsidRPr="00B75E6C">
        <w:rPr>
          <w:rFonts w:ascii="Book Antiqua" w:hAnsi="Book Antiqua"/>
          <w:sz w:val="24"/>
          <w:szCs w:val="24"/>
        </w:rPr>
        <w:t xml:space="preserve"> pada </w:t>
      </w:r>
      <w:proofErr w:type="spellStart"/>
      <w:r w:rsidRPr="00B75E6C">
        <w:rPr>
          <w:rFonts w:ascii="Book Antiqua" w:hAnsi="Book Antiqua"/>
          <w:sz w:val="24"/>
          <w:szCs w:val="24"/>
        </w:rPr>
        <w:t>atribut</w:t>
      </w:r>
      <w:proofErr w:type="spellEnd"/>
      <w:r w:rsidRPr="00B75E6C">
        <w:rPr>
          <w:rFonts w:ascii="Book Antiqua" w:hAnsi="Book Antiqua"/>
          <w:sz w:val="24"/>
          <w:szCs w:val="24"/>
        </w:rPr>
        <w:t xml:space="preserve"> champion </w:t>
      </w:r>
      <w:proofErr w:type="spellStart"/>
      <w:r w:rsidRPr="00B75E6C">
        <w:rPr>
          <w:rFonts w:ascii="Book Antiqua" w:hAnsi="Book Antiqua"/>
          <w:sz w:val="24"/>
          <w:szCs w:val="24"/>
        </w:rPr>
        <w:t>serta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interaksinya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dengan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konteks</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organisasi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Hambatan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eksternal</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kebijakan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pembayaran</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tidak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memadai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masalah</w:t>
      </w:r>
      <w:proofErr w:type="spellEnd"/>
      <w:r w:rsidRPr="00B75E6C">
        <w:rPr>
          <w:rFonts w:ascii="Book Antiqua" w:hAnsi="Book Antiqua"/>
          <w:sz w:val="24"/>
          <w:szCs w:val="24"/>
        </w:rPr>
        <w:t xml:space="preserve"> internal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komunikasi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buruk</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antara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pemangku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kepentingan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sering</w:t>
      </w:r>
      <w:proofErr w:type="spellEnd"/>
      <w:r w:rsidRPr="00B75E6C">
        <w:rPr>
          <w:rFonts w:ascii="Book Antiqua" w:hAnsi="Book Antiqua"/>
          <w:sz w:val="24"/>
          <w:szCs w:val="24"/>
        </w:rPr>
        <w:t xml:space="preserve"> kali </w:t>
      </w:r>
      <w:proofErr w:type="spellStart"/>
      <w:r w:rsidRPr="00B75E6C">
        <w:rPr>
          <w:rFonts w:ascii="Book Antiqua" w:hAnsi="Book Antiqua"/>
          <w:sz w:val="24"/>
          <w:szCs w:val="24"/>
        </w:rPr>
        <w:t>menjadi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tantangan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utama</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merutinkan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layanan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kontrasepsi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pascapersalinan</w:t>
      </w:r>
      <w:proofErr w:type="spellEnd"/>
      <w:r w:rsidRPr="00B75E6C">
        <w:rPr>
          <w:rFonts w:ascii="Book Antiqua" w:hAnsi="Book Antiqua"/>
          <w:sz w:val="24"/>
          <w:szCs w:val="24"/>
        </w:rPr>
        <w:t xml:space="preserve"> (Sharma et al., 2024). Champion yang </w:t>
      </w:r>
      <w:proofErr w:type="spellStart"/>
      <w:r w:rsidRPr="00B75E6C">
        <w:rPr>
          <w:rFonts w:ascii="Book Antiqua" w:hAnsi="Book Antiqua"/>
          <w:sz w:val="24"/>
          <w:szCs w:val="24"/>
        </w:rPr>
        <w:t>memiliki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atribut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pengaruh</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ketabahan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dapat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membantu</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mengatasi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hambatan-hambatan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ini</w:t>
      </w:r>
      <w:proofErr w:type="spellEnd"/>
      <w:r w:rsidRPr="00B75E6C">
        <w:rPr>
          <w:rFonts w:ascii="Book Antiqua" w:hAnsi="Book Antiqua"/>
          <w:sz w:val="24"/>
          <w:szCs w:val="24"/>
        </w:rPr>
        <w:t xml:space="preserve"> dan </w:t>
      </w:r>
      <w:proofErr w:type="spellStart"/>
      <w:r w:rsidRPr="00B75E6C">
        <w:rPr>
          <w:rFonts w:ascii="Book Antiqua" w:hAnsi="Book Antiqua"/>
          <w:sz w:val="24"/>
          <w:szCs w:val="24"/>
        </w:rPr>
        <w:t>memastikan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kelancaran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implementasi</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layanan</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seperti</w:t>
      </w:r>
      <w:proofErr w:type="spellEnd"/>
      <w:r w:rsidRPr="00B75E6C">
        <w:rPr>
          <w:rFonts w:ascii="Book Antiqua" w:hAnsi="Book Antiqua"/>
          <w:sz w:val="24"/>
          <w:szCs w:val="24"/>
        </w:rPr>
        <w:t xml:space="preserve"> yang </w:t>
      </w:r>
      <w:proofErr w:type="spellStart"/>
      <w:r w:rsidRPr="00B75E6C">
        <w:rPr>
          <w:rFonts w:ascii="Book Antiqua" w:hAnsi="Book Antiqua"/>
          <w:sz w:val="24"/>
          <w:szCs w:val="24"/>
        </w:rPr>
        <w:t>terlihat</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dalam</w:t>
      </w:r>
      <w:proofErr w:type="spellEnd"/>
      <w:r w:rsidRPr="00B75E6C">
        <w:rPr>
          <w:rFonts w:ascii="Book Antiqua" w:hAnsi="Book Antiqua"/>
          <w:sz w:val="24"/>
          <w:szCs w:val="24"/>
        </w:rPr>
        <w:t xml:space="preserve"> </w:t>
      </w:r>
      <w:proofErr w:type="spellStart"/>
      <w:r w:rsidRPr="00B75E6C">
        <w:rPr>
          <w:rFonts w:ascii="Book Antiqua" w:hAnsi="Book Antiqua"/>
          <w:sz w:val="24"/>
          <w:szCs w:val="24"/>
        </w:rPr>
        <w:t>studi</w:t>
      </w:r>
      <w:proofErr w:type="spellEnd"/>
      <w:r w:rsidRPr="00B75E6C">
        <w:rPr>
          <w:rFonts w:ascii="Book Antiqua" w:hAnsi="Book Antiqua"/>
          <w:sz w:val="24"/>
          <w:szCs w:val="24"/>
        </w:rPr>
        <w:t xml:space="preserve"> di </w:t>
      </w:r>
      <w:proofErr w:type="spellStart"/>
      <w:r w:rsidRPr="00B75E6C">
        <w:rPr>
          <w:rFonts w:ascii="Book Antiqua" w:hAnsi="Book Antiqua"/>
          <w:sz w:val="24"/>
          <w:szCs w:val="24"/>
        </w:rPr>
        <w:t>puskesmas</w:t>
      </w:r>
      <w:proofErr w:type="spellEnd"/>
      <w:r w:rsidRPr="00B75E6C">
        <w:rPr>
          <w:rFonts w:ascii="Book Antiqua" w:hAnsi="Book Antiqua"/>
          <w:sz w:val="24"/>
          <w:szCs w:val="24"/>
        </w:rPr>
        <w:t xml:space="preserve"> di Bengkulu (Gage et al., 2024).</w:t>
      </w:r>
    </w:p>
    <w:p w14:paraId="64D569F9" w14:textId="77777777" w:rsidR="00E17B14" w:rsidRPr="009E5DBF" w:rsidRDefault="00E17B14" w:rsidP="000D1377">
      <w:pPr>
        <w:ind w:firstLine="720"/>
        <w:jc w:val="both"/>
        <w:rPr>
          <w:rFonts w:ascii="Book Antiqua" w:hAnsi="Book Antiqua"/>
          <w:bCs/>
          <w:sz w:val="24"/>
          <w:szCs w:val="24"/>
        </w:rPr>
      </w:pPr>
    </w:p>
    <w:p w14:paraId="7DC2BDCA" w14:textId="2C588722" w:rsidR="002E617E" w:rsidRPr="009E5DBF" w:rsidRDefault="000D1377" w:rsidP="00380179">
      <w:pPr>
        <w:tabs>
          <w:tab w:val="left" w:pos="426"/>
        </w:tabs>
        <w:rPr>
          <w:rFonts w:ascii="Book Antiqua" w:hAnsi="Book Antiqua"/>
          <w:b/>
          <w:bCs/>
          <w:sz w:val="24"/>
          <w:szCs w:val="24"/>
          <w:lang w:val="id-ID"/>
        </w:rPr>
      </w:pPr>
      <w:r w:rsidRPr="009E5DBF">
        <w:rPr>
          <w:rFonts w:ascii="Book Antiqua" w:hAnsi="Book Antiqua"/>
          <w:b/>
          <w:bCs/>
          <w:sz w:val="24"/>
          <w:szCs w:val="24"/>
        </w:rPr>
        <w:t>METODE PENELITIAN</w:t>
      </w:r>
    </w:p>
    <w:p w14:paraId="6A4581E7"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ini menggunakan pendekatan studi kasus komparatif untuk menganalisis implementasi perawatan kontrasepsi pascapersalinan di 11 puskesmas di Kota Bengkulu pada tahun </w:t>
      </w:r>
      <w:proofErr w:type="gramStart"/>
      <w:r w:rsidRPr="009E5DBF">
        <w:rPr>
          <w:rFonts w:ascii="Book Antiqua" w:hAnsi="Book Antiqua"/>
          <w:sz w:val="24"/>
          <w:szCs w:val="24"/>
          <w:lang w:val="sv-SE"/>
        </w:rPr>
        <w:t>2022-2023</w:t>
      </w:r>
      <w:proofErr w:type="gramEnd"/>
      <w:r w:rsidRPr="009E5DBF">
        <w:rPr>
          <w:rFonts w:ascii="Book Antiqua" w:hAnsi="Book Antiqua"/>
          <w:sz w:val="24"/>
          <w:szCs w:val="24"/>
          <w:lang w:val="sv-SE"/>
        </w:rPr>
        <w:t xml:space="preserve">. Pendekatan ini dipilih untuk mengidentifikasi dan memahami kondisi yang berkontribusi terhadap keberhasilan implementasi. Kerangka Kerja Konsolidasi untuk Penelitian Implementasi (Consolidated Framework for Implementation Research/CFIR) digunakan sebagai panduan dalam pengumpulan data, analisis, dan pelaporan. CFIR menyediakan kerangka kerja yang komprehensif untuk mengevaluasi berbagai faktor yang mempengaruhi implementasi, termasuk intervensi itu sendiri, lingkungan internal dan eksternal, pihak yang terlibat, serta proses implementasi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{"citationItems":[{"id":"ITEM-1","itemData":{"DOI":"10.2147/IJWH.S370012","ISSN":"11791411","abstract":"Objective: This study sought to identify the factors that act as barriers and facilitators to developing and implementing Immediate postpartum (IPP) insertion of contraceptive implants service according to the Consolidated Framework for Implementation Research (CFIR). Methods: We conducted in-depth interviews and focus group discussions to explore IPP contraceptive implantation programs implemented in community, regional, and university hospitals in Thailand. The CFIR was used to guide the data collection and analyses. Results: All CFIR domains were found to have an impact on planning and implementation. Out of 38 constructs, nine were identified as either barriers or facilitators, and four were determined to be both. Barriers included an insufficient training budget, lack of policy to support non-teenagers, disconnect among organizations, and lack of knowledge on the part of the clients. Facilitators included the relative advantage of implants over other contraceptive methods, reimbursement policy, laws that promote teenage autonomy, setting IPP implants as a key performance indicator (KPI), identifying project champions, and educating clients through antenatal counseling or multimedia intervention. Conclusion: Barriers and facilitators to the successful implementation of an IPP contraceptive implant program were identified. In order to successfully implement this service, modifiable barriers should be overcome and facilitators should be strengthened. Strategies tailored to the local context should be developed to ensure the sustainability of the program. Educating clients is crucial and need both hospital-and community interventions.","author":[{"dropping-particle":"","family":"Sothornwit","given":"Jen","non-dropping-particle":"","parse-names":false,"suffix":""},{"dropping-particle":"","family":"Lumbiganon","given":"Pisake","non-dropping-particle":"","parse-names":false,"suffix":""},{"dropping-particle":"","family":"Singhdaeng","given":"Kesinee Saranrittichai Thanyarat","non-dropping-particle":"","parse-names":false,"suffix":""},{"dropping-particle":"","family":"Jampathong","given":"Nampet","non-dropping-particle":"","parse-names":false,"suffix":""},{"dropping-particle":"","family":"Sangkomkamhang","given":"Ussanee","non-dropping-particle":"","parse-names":false,"suffix":""}],"container-title":"International Journal of Women's Health","id":"ITEM-1","issued":{"date-parts":[["2022"]]},"note":"Cited By (since 2022): 3","page":"945-956","title":"Barriers and Facilitators to Implementing Immediate Postpartum Contraceptive Implant Programs: A Formative Implementation Research","type":"article-journal","volume":"14"},"uris":["http://www.mendeley.com/documents/?uuid=d5d3f274-bd3e-4f96-82f2-0906881f4eab"]}],"mendeley":{"formattedCitation":"(Sothornwit et al., 2022)","plainTextFormattedCitation":"(Sothornwit et al., 2022)","previouslyFormattedCitation":"(Sothornwit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(Sothornwit et al., 2022)</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0795658B"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ini melibatkan 11 puskesmas yang dipilih berdasarkan kesediaan mereka untuk berpartisipasi dan ketersediaan layanan kontrasepsi pascapersalinan. Wawancara semi-terstruktur dilakukan dengan 78 informan kunci yang terdiri dari dokter, perawat, staf farmasi, staf pendapatan, dan manajer </w:t>
      </w:r>
      <w:proofErr w:type="gramStart"/>
      <w:r w:rsidRPr="009E5DBF">
        <w:rPr>
          <w:rFonts w:ascii="Book Antiqua" w:hAnsi="Book Antiqua"/>
          <w:sz w:val="24"/>
          <w:szCs w:val="24"/>
          <w:lang w:val="sv-SE"/>
        </w:rPr>
        <w:t>puskesmas .</w:t>
      </w:r>
      <w:proofErr w:type="gramEnd"/>
      <w:r w:rsidRPr="009E5DBF">
        <w:rPr>
          <w:rFonts w:ascii="Book Antiqua" w:hAnsi="Book Antiqua"/>
          <w:sz w:val="24"/>
          <w:szCs w:val="24"/>
          <w:lang w:val="sv-SE"/>
        </w:rPr>
        <w:t xml:space="preserve"> Data dikumpulkan melalui tiga teknik utama: wawancara semi-</w:t>
      </w:r>
      <w:r w:rsidRPr="009E5DBF">
        <w:rPr>
          <w:rFonts w:ascii="Book Antiqua" w:hAnsi="Book Antiqua"/>
          <w:sz w:val="24"/>
          <w:szCs w:val="24"/>
          <w:lang w:val="sv-SE"/>
        </w:rPr>
        <w:lastRenderedPageBreak/>
        <w:t xml:space="preserve">terstruktur, observasi lapangan, dan dokumentasi. Wawancara semi-terstruktur dilakukan menggunakan panduan yang disusun berdasarkan konstruk CFIR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{"citationItems":[{"id":"ITEM-1","itemData":{"DOI":"10.1016/j.contraception.2021.10.016","ISSN":"18790518","PMID":"34748748","abstract":"Objective: To understand the specific ways in which champions lead efforts to obtain and sustain buy-in for immediate postpartum long-acting reversible contraception (LARC) programs. Methods: We conducted a qualitative study with 60 semistructured interviews at 3 teaching hospitals in Texas with physicians, nurses, administrators and other staff who participated in the implementation of immediate postpartum LARC. Physicians self-identified as champions and identified other champion physicians and administrators. Two researchers analyzed and coded interview transcripts for content and themes. Results: We found that champions draw on institutional knowledge and relationships to build awareness and support for immediate postpartum LARC implementation. To obtain buy-in, champions needed to demonstrate financial sustainability, engage key stakeholders from multiple departments, and obtain nurse buy-in. Champions also created buy-in by communicating goals for the service that focused on expanding reproductive autonomy, improving maternal health, and improving access to postpartum contraception. Some staff, especially nurses, identified reasons for the program that run counter to reproductive justice principles: reducing birth rates, poverty, and/or unplanned pregnancy among young women and high-parity women. Respondents at 2 hospitals noted that not all women had equitable access to immediate postpartum LARC. Conclusion: Physician and non-physician champions must secure long-term support across multiple hospital departments to successfully implement an immediate postpartum LARC program. For programs to equitably serve all women in need of postpartum contraceptive care, champions and other program leaders need to implement strategies to address access issues. They should also explicitly focus on reproductive justice principles during program introduction and training. Implications: Successfully implementing immediate postpartum long-acting reversible contraception programs requires champions with institutional networking connections, administrative and nursing support, and clearly communicated goals. Champions need to address access issues and focus on reproductive justice principles during program introduction and training to equitably serve all women in need of postpartum contraceptive care.","author":[{"dropping-particle":"","family":"Hopkins","given":"Kristine","non-dropping-particle":"","parse-names":false,"suffix":""},{"dropping-particle":"","family":"Remington","given":"Courtney","non-dropping-particle":"","parse-names":false,"suffix":""},{"dropping-particle":"","family":"Eilers","given":"Michelle A.","non-dropping-particle":"","parse-names":false,"suffix":""},{"dropping-particle":"","family":"Rivas","given":"Saul D.","non-dropping-particle":"","parse-names":false,"suffix":""},{"dropping-particle":"","family":"Wallace Huff","given":"Cristina","non-dropping-particle":"","parse-names":false,"suffix":""},{"dropping-particle":"","family":"Moore","given":"Lee David","non-dropping-particle":"","parse-names":false,"suffix":""},{"dropping-particle":"","family":"Hampton","given":"Raymond Moss","non-dropping-particle":"","parse-names":false,"suffix":""},{"dropping-particle":"","family":"Ogburn","given":"Tony","non-dropping-particle":"","parse-names":false,"suffix":""}],"container-title":"Contraception","id":"ITEM-1","issued":{"date-parts":[["2022"]]},"page":"32-36","title":"Obtaining buy-in for immediate postpartum long-acting reversible contraception programs in Texas hospitals: A qualitative study","type":"article-journal","volume":"108"},"uris":["http://www.mendeley.com/documents/?uuid=4c600fbb-684e-429d-b673-e7ee68383baf"]},{"id":"ITEM-2","itemData":{"DOI":"10.1089/whr.2023.0142","ISSN":"26884844","abstract":"Objective: To evaluate the utilization and outcomes of postpartum long-acting reversible contraception (PPLARC) following unmet postpartum bilateral tubal ligation (PPBTL) requests during a time in which elective surgeries were canceled due to the initial COVID-19 surge. Methods: We conducted a mixed-methods study using an embedded design. Using a retrospective cohort design, we collected data from patients seeking PPBTL following vaginal delivery between March 15, 2020, and June 20, 2020; this reflects a time period during which elective surgery was canceled thus making PPBTL unavailable. We recorded demographic data, method of contraception at time of discharge and 18 months postpartum, and incidence of interval pregnancy at 18 months postpartum. Additionally, we conducted five semistructured interviews to gain deeper insights into patient experiences with PPLARC as a bridge method. Results: Forty-five patients had unfilled PPBTL requests with follow-up data available for 35. The median age was 34 years. Ten (22%) accepted PPLARC as a bridge to interval bilateral tubal ligation (BTL). At the 18-month mark, only 1 out of 7 (14.3%) PPLARC users had undergone an interval BTL procedure, compared to 11 out of 28 (39.3%) nonusers. None of the PPLARC users experienced pregnancies, while 6 out of 28 (21.6%) nonusers became pregnant. Qualitative interviews underscored themes such as inadequate counseling preparation for unmet PPBTL requests and persistent barriers to BTL access. Conclusions: Raising awareness of unmet PPBTL risks may drive greater adoption of PPLARC as a bridge method. While not a substitution for PPTBL, PPLARC provides a reliable form of interval contraception for patients seeking to delay pregnancy. It is essential to recognize that patient security with PPLARC's contraceptive efficacy may introduce delays in achieving the desired interval sterilization. Enhancing antenatal counseling on contraception options and providing transparency regarding barriers to sterilization could mitigate the challenges associated with unmet PPBTL requests.","author":[{"dropping-particle":"","family":"Cosgriff","given":"Lauren","non-dropping-particle":"","parse-names":false,"suffix":""},{"dropping-particle":"","family":"Plummer","given":"Melissa","non-dropping-particle":"","parse-names":false,"suffix":""},{"dropping-particle":"","family":"Concepcion","given":"Gabrielle","non-dropping-particle":"","parse-names":false,"suffix":""},{"dropping-particle":"","family":"Danvers","given":"Antoinette A.","non-dropping-particle":"","parse-names":false,"suffix":""}],"container-title":"Women's Health Reports","id":"ITEM-2","issue":"1","issued":{"date-parts":[["2024"]]},"page":"352-357","title":"Outcomes for Women Denied Postpartum Tubal Ligation During the Initial COVID-19 Surge","type":"article-journal","volume":"5"},"uris":["http://www.mendeley.com/documents/?uuid=47cff424-f3c8-49c0-9de6-eaf743f90480"]}],"mendeley":{"formattedCitation":"(Cosgriff et al., 2024; Hopkins et al., 2022)","plainTextFormattedCitation":"(Cosgriff et al., 2024; Hopkins et al., 2022)","previouslyFormattedCitation":"(Cosgriff et al., 2024; Hopkins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(Cosgriff et al., 2024; Hopkins et al., 2022)</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bertujuan untuk mengumpulkan informasi tentang pengalaman implementasi, hambatan yang dihadapi, dan strategi yang digunakan oleh para champion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{"citationItems":[{"id":"ITEM-1","itemData":{"DOI":"10.1186/s42506-024-00160-0","ISSN":"2090262X","abstract":"Background: Postpartum family planning (PPFP) is important in helping couples to achieve their reproductive intentions. National surveys have consistently reported higher fertility, lower use of family planning (FP), and higher unmet needs for FP in Upper Egypt. This study aims to identify the factors associated with the use of PPFP in Assiut Governorate, Upper Egypt, and to assess the current status of integration of PPFP counseling in the existing maternal and child health services (MCH). Methods: The study employed a cross-sectional study design, collecting data from 455 postpartum women aged 15 to 49 years in 4 primary health care (PHC) centers in Assiut Governorate, Upper Egypt. The women were interviewed using a structured questionnaire. The questionnaire consisted of 4 sections: the first section included the participants’ demographic characteristics; the second section included women’s obstetric history; the third section included questions about PPFP knowledge, attitude, past and current use of contraception; and the fourth section assessed the current status of integrating PPFP counseling within antenatal, natal, and postnatal services. Results: In total, 54.5% of postpartum women were using a modern contraceptive method. The significant predictors of using PPFP methods were as follows: receiving information about PPFP from health care providers (AOR = 11.46, p &lt; 0.001), better attitude towards PPFP (AOR = 10.54, p &lt; 0.001), using modern FP methods (AOR = 6.98, p &lt; 0.001), resumption of menstruation (AOR = 4.11, p &lt; 0.001), older age (AOR = 2.15, p &lt; 0.05), and better PPFP knowledge (AOR = 1.72, p &lt; 0.001). Only 5.3%, 1.3%, and 3.5% received PPFP counseling during antenatal care (ANC), delivery, and the postpartum period, respectively. Conclusions: Postpartum contraception use was associated with receiving PPFP counseling by health care providers and women’s knowledge and attitude regarding PPFP. However, FP counseling was not integrated with other MCH services. Updating the components of MCH services to include PPFP counseling during ANC, at delivery, and during the postpartum period should be prioritized by program planners and policymakers.","author":[{"dropping-particle":"","family":"Mohammed","given":"Heba M.","non-dropping-particle":"","parse-names":false,"suffix":""},{"dropping-particle":"","family":"Zaky","given":"Maria A.","non-dropping-particle":"","parse-names":false,"suffix":""},{"dropping-particle":"","family":"Hany","given":"Ahmed M.","non-dropping-particle":"","parse-names":false,"suffix":""}],"container-title":"Journal of the Egyptian Public Health Association","id":"ITEM-1","issue":"1","issued":{"date-parts":[["2024"]]},"title":"Postpartum family planning among women attending maternal and child health centers in Assiut Governorate, Upper Egypt","type":"article-journal","volume":"99"},"uris":["http://www.mendeley.com/documents/?uuid=022fc570-d431-40cf-a33f-de7eb04530e2"]},{"id":"ITEM-2","itemData":{"DOI":"10.1016/j.ejogrb.2024.04.038","ISSN":"18727654","PMID":"38705006","abstract":"Objectives: To assess women's contraceptive preferences in the immediate postpartum period and identify factors associated with use of their desired contraceptive method six months later. Material and methods: This prospective cohort study included women ≤48 h after delivery at a single public Brazilian hospital. The women's interview took place in two different momentsbefore hospital discharge (in-person interview) and six months after delivery (by telephone contact). For data collection and management, we used the REDCap electronic tool. Univariate and multivariate analyses (unadjusted and adjusted Odds Ratio and 95 % confidence intervals) were used to identify factors associated with higher use of their desired contraceptive method six months after delivery. Results: A total of 294 women (166 adolescents) were included. Initial contraceptive preferences were especially intrauterine devices (IUDs) (39.1 %), implants (33.0 %) and injectable hormonal contraceptives (17.0 %). Six months later, 42.5 % (n = 125) were using their desired contraceptive method. Younger age, white race and contraceptive initiation prior to hospital discharge were associated with use of their desired contraceptive at six months. Conclusion: Long-acting reversible contraception (LARC) methods were the most desired contraceptives among women after delivery. Providing and initiating free contraception prior to discharge from a birthing unit is important with regard to use of their desired method.","author":[{"dropping-particle":"","family":"Meireles Castro Maia","given":"Elaine","non-dropping-particle":"","parse-names":false,"suffix":""},{"dropping-particle":"","family":"Autran Coelho Peixoto","given":"Raquel","non-dropping-particle":"","parse-names":false,"suffix":""},{"dropping-particle":"","family":"Aparecida Falbo Guazzelli","given":"Cristina","non-dropping-particle":"","parse-names":false,"suffix":""}],"container-title":"European Journal of Obstetrics and Gynecology and Reproductive Biology","id":"ITEM-2","issued":{"date-parts":[["2024"]]},"page":"1-5","title":"Choice and factors associated to the use of contraceptive methods among postpartum women: A prospective cohort study","type":"article-journal","volume":"298"},"uris":["http://www.mendeley.com/documents/?uuid=1ce1d339-f6b6-4fec-9207-56e07e45dba6"]}],"mendeley":{"formattedCitation":"(Meireles Castro Maia et al., 2024; Mohammed et al., 2024)","plainTextFormattedCitation":"(Meireles Castro Maia et al., 2024; Mohammed et al., 2024)","previouslyFormattedCitation":"(Meireles Castro Maia et al., 2024; Mohammed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(Meireles Castro Maia et al., 2024; Mohammed et al., 2024)</w:t>
      </w:r>
      <w:r w:rsidRPr="009E5DBF">
        <w:rPr>
          <w:rFonts w:ascii="Book Antiqua" w:hAnsi="Book Antiqua"/>
          <w:sz w:val="24"/>
          <w:szCs w:val="24"/>
          <w:lang w:val="sv-SE"/>
        </w:rPr>
        <w:fldChar w:fldCharType="end"/>
      </w:r>
      <w:r w:rsidRPr="009E5DBF">
        <w:rPr>
          <w:rFonts w:ascii="Book Antiqua" w:hAnsi="Book Antiqua"/>
          <w:sz w:val="24"/>
          <w:szCs w:val="24"/>
          <w:lang w:val="sv-SE"/>
        </w:rPr>
        <w:t>. Observasi lapangan dilakukan untuk mengamati secara langsung proses implementasi dan mengidentifikasi faktor-</w:t>
      </w:r>
      <w:proofErr w:type="gramStart"/>
      <w:r w:rsidRPr="009E5DBF">
        <w:rPr>
          <w:rFonts w:ascii="Book Antiqua" w:hAnsi="Book Antiqua"/>
          <w:sz w:val="24"/>
          <w:szCs w:val="24"/>
          <w:lang w:val="sv-SE"/>
        </w:rPr>
        <w:t>faktor yang</w:t>
      </w:r>
      <w:proofErr w:type="gramEnd"/>
      <w:r w:rsidRPr="009E5DBF">
        <w:rPr>
          <w:rFonts w:ascii="Book Antiqua" w:hAnsi="Book Antiqua"/>
          <w:sz w:val="24"/>
          <w:szCs w:val="24"/>
          <w:lang w:val="sv-SE"/>
        </w:rPr>
        <w:t xml:space="preserve"> mempengaruhi keberhasilan. Data tambahan dikumpulkan dari dokumen-dokumen terkait, seperti laporan tahunan dan kebijakan puskesmas.</w:t>
      </w:r>
    </w:p>
    <w:p w14:paraId="09654B2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Data yang dikumpulkan dianalisis dalam dua fase: analisis konten kualitatif dan analisis induktif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{"citationItems":[{"id":"ITEM-1","itemData":{"DOI":"10.1186/s13012-021-01111-5","ISSN":"17485908","PMID":"34215286","abstract":"Background: Qualitative approaches, alone or in mixed methods, are prominent within implementation science. However, traditional qualitative approaches are resource intensive, which has led to the development of rapid qualitative approaches. Published rapid approaches are often inductive in nature and rely on transcripts of interviews. We describe a deductive rapid analysis approach using the Consolidated Framework for Implementation Research (CFIR) that uses notes and audio recordings. This paper compares our rapid versus traditional deductive CFIR approach. Methods: Semi-structured interviews were conducted for two cohorts of the Veterans Health Administration (VHA) Diffusion of Excellence (DoE). The CFIR guided data collection and analysis. In cohort A, we used our traditional CFIR-based deductive analysis approach (directed content analysis), where two analysts completed independent in-depth manual coding of interview transcripts using qualitative software. In cohort B, we used our new rapid CFIR-based deductive analysis approach (directed content analysis), where the primary analyst wrote detailed notes during interviews and immediately “coded” notes into a MS Excel CFIR construct by facility matrix; a secondary analyst then listened to audio recordings and edited the matrix. We tracked time for our traditional and rapid deductive CFIR approaches using a spreadsheet and captured transcription costs from invoices. We retrospectively compared our approaches in terms of effectiveness and rigor. Results: Cohorts A and B were similar in terms of the amount of data collected. However, our rapid deductive CFIR approach required 409.5 analyst hours compared to 683 h during the traditional deductive CFIR approach. The rapid deductive approach eliminated $7250 in transcription costs. The facility-level analysis phase provided the greatest savings: 14 h/facility for the traditional analysis versus 3.92 h/facility for the rapid analysis. Data interpretation required the same number of hours for both approaches. Conclusion: Our rapid deductive CFIR approach was less time intensive and eliminated transcription costs, yet effective in meeting evaluation objectives and establishing rigor. Researchers should consider the following when employing our approach: (1) team expertise in the CFIR and qualitative methods, (2) level of detail needed to meet project aims, (3) mode of data to analyze, and (4) advantages and disadvantages of using the CFIR.","author":[{"dropping-particle":"","family":"Nevedal","given":"Andrea L.","non-dropping-particle":"","parse-names":false,"suffix":""},{"dropping-particle":"","family":"Reardon","given":"Caitlin M.","non-dropping-particle":"","parse-names":false,"suffix":""},{"dropping-particle":"","family":"Opra Widerquist","given":"Marilla A.","non-dropping-particle":"","parse-names":false,"suffix":""},{"dropping-particle":"","family":"Jackson","given":"George L.","non-dropping-particle":"","parse-names":false,"suffix":""},{"dropping-particle":"","family":"Cutrona","given":"Sarah L.","non-dropping-particle":"","parse-names":false,"suffix":""},{"dropping-particle":"","family":"White","given":"Brandolyn S.","non-dropping-particle":"","parse-names":false,"suffix":""},{"dropping-particle":"","family":"Damschroder","given":"Laura J.","non-dropping-particle":"","parse-names":false,"suffix":""}],"container-title":"Implementation Science","id":"ITEM-1","issue":"1","issued":{"date-parts":[["2021"]]},"page":"1-12","publisher":"Implementation Science","title":"Rapid versus traditional qualitative analysis using the Consolidated Framework for Implementation Research (CFIR)","type":"article-journal","volume":"16"},"uris":["http://www.mendeley.com/documents/?uuid=52fffe40-03c9-4a71-8853-00029e6d78bc"]},{"id":"ITEM-2","itemData":{"abstract":"Qualitative content analysis is a method for analyzing qualitative data like interview transcripts, observation notes or documents. It offers a systematic, step-by-step approach to analyzing text material and allows for both theory- and data-driven code development. Once data collection is finished, the recordings of interviews and group discussions, notes from observations, collected documents or media coverage need to be prepared for analysis. The analysis then consists of two main steps: coding and interpretation. Coding means to assign text segments to deductively and/or inductively developed categories. Interpretation, on the one hand, aims at discovering similarities and differences and identifying patterns within each category. On the other hand, it arranges the categories in relation to each other and puts them into a theoretical context. Following a short introduction, this chapter starts by explaining what qualitative content analysis is and presenting the method’s development. It then discusses the method’s strengths and weaknesses, before explaining each step of qualitative content analysis in detail.","author":[{"dropping-particle":"","family":"Puppis","given":"Manuel","non-dropping-particle":"","parse-names":false,"suffix":""}],"container-title":"SPRINGER LINK","id":"ITEM-2","issued":{"date-parts":[["2019"]]},"title":"Analyzing Talk and Text I: Qualitative Content Analysis","type":"article-journal"},"uris":["http://www.mendeley.com/documents/?uuid=de7b11a8-8f2d-4f5d-a6ea-4bd11deab345"]}],"mendeley":{"formattedCitation":"(Nevedal et al., 2021; Puppis, 2019)","plainTextFormattedCitation":"(Nevedal et al., 2021; Puppis, 2019)","previouslyFormattedCitation":"(Nevedal et al., 2021; Puppis, 2019)"},"properties":{"noteIndex":0},"schema":"https://github.com/citation-style-language/schema/raw/master/csl-citation.json"}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(Nevedal et al., 2021; Puppis, 2019)</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Analisis konten kualitatif menggunakan kode apriori berdasarkan konstruk CFIR untuk mengidentifikasi pola dan tema utama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{"citationItems":[{"id":"ITEM-1","itemData":{"DOI":"10.1186/s13012-021-01111-5","ISSN":"17485908","PMID":"34215286","abstract":"Background: Qualitative approaches, alone or in mixed methods, are prominent within implementation science. However, traditional qualitative approaches are resource intensive, which has led to the development of rapid qualitative approaches. Published rapid approaches are often inductive in nature and rely on transcripts of interviews. We describe a deductive rapid analysis approach using the Consolidated Framework for Implementation Research (CFIR) that uses notes and audio recordings. This paper compares our rapid versus traditional deductive CFIR approach. Methods: Semi-structured interviews were conducted for two cohorts of the Veterans Health Administration (VHA) Diffusion of Excellence (DoE). The CFIR guided data collection and analysis. In cohort A, we used our traditional CFIR-based deductive analysis approach (directed content analysis), where two analysts completed independent in-depth manual coding of interview transcripts using qualitative software. In cohort B, we used our new rapid CFIR-based deductive analysis approach (directed content analysis), where the primary analyst wrote detailed notes during interviews and immediately “coded” notes into a MS Excel CFIR construct by facility matrix; a secondary analyst then listened to audio recordings and edited the matrix. We tracked time for our traditional and rapid deductive CFIR approaches using a spreadsheet and captured transcription costs from invoices. We retrospectively compared our approaches in terms of effectiveness and rigor. Results: Cohorts A and B were similar in terms of the amount of data collected. However, our rapid deductive CFIR approach required 409.5 analyst hours compared to 683 h during the traditional deductive CFIR approach. The rapid deductive approach eliminated $7250 in transcription costs. The facility-level analysis phase provided the greatest savings: 14 h/facility for the traditional analysis versus 3.92 h/facility for the rapid analysis. Data interpretation required the same number of hours for both approaches. Conclusion: Our rapid deductive CFIR approach was less time intensive and eliminated transcription costs, yet effective in meeting evaluation objectives and establishing rigor. Researchers should consider the following when employing our approach: (1) team expertise in the CFIR and qualitative methods, (2) level of detail needed to meet project aims, (3) mode of data to analyze, and (4) advantages and disadvantages of using the CFIR.","author":[{"dropping-particle":"","family":"Nevedal","given":"Andrea L.","non-dropping-particle":"","parse-names":false,"suffix":""},{"dropping-particle":"","family":"Reardon","given":"Caitlin M.","non-dropping-particle":"","parse-names":false,"suffix":""},{"dropping-particle":"","family":"Opra Widerquist","given":"Marilla A.","non-dropping-particle":"","parse-names":false,"suffix":""},{"dropping-particle":"","family":"Jackson","given":"George L.","non-dropping-particle":"","parse-names":false,"suffix":""},{"dropping-particle":"","family":"Cutrona","given":"Sarah L.","non-dropping-particle":"","parse-names":false,"suffix":""},{"dropping-particle":"","family":"White","given":"Brandolyn S.","non-dropping-particle":"","parse-names":false,"suffix":""},{"dropping-particle":"","family":"Damschroder","given":"Laura J.","non-dropping-particle":"","parse-names":false,"suffix":""}],"container-title":"Implementation Science","id":"ITEM-1","issue":"1","issued":{"date-parts":[["2021"]]},"page":"1-12","publisher":"Implementation Science","title":"Rapid versus traditional qualitative analysis using the Consolidated Framework for Implementation Research (CFIR)","type":"article-journal","volume":"16"},"uris":["http://www.mendeley.com/documents/?uuid=52fffe40-03c9-4a71-8853-00029e6d78bc"]},{"id":"ITEM-2","itemData":{"abstract":"This chapter explains how to perform inductive content analysis, a method that is commonly used in qualitative studies to analyse data. This method can be applied to open or half-structured data. Inductive content analysis utilises the process of abstraction to reduce and group data so that researchers can answer the study questions using concepts, categories or themes. After a unit of analysis has been chosen, the researcher goes through the data to identify open codes, which are then combined with other open codes that include similar content to form sub-concepts, -categories and -themes. As in the previous step, these sub-concepts, -categories and -themes are combined into concepts, categories and themes, which can still further be organised into main concepts, categories and themes. The identified concepts, categories and themes (or main concepts, categories and themes) will serve as the basis for reporting content analysis results. This type of analysis is data-sensitive; hence, the researcher should return to the original data several times during the analytical process to ensure that the results show a strong connection to the analysed data.","author":[{"dropping-particle":"","family":"Kyngäs","given":"Helvi","non-dropping-particle":"","parse-names":false,"suffix":""}],"id":"ITEM-2","issued":{"date-parts":[["2019"]]},"title":"Inductive Content Analysis","type":"article-journal"},"uris":["http://www.mendeley.com/documents/?uuid=14bfbc7d-e359-43f4-81c9-2024725b52f7"]}],"mendeley":{"formattedCitation":"(Kyngäs, 2019; Nevedal et al., 2021)","plainTextFormattedCitation":"(Kyngäs, 2019; Nevedal et al., 2021)","previouslyFormattedCitation":"(Kyngäs, 2019; Nevedal et al., 2021)"},"properties":{"noteIndex":0},"schema":"https://github.com/citation-style-language/schema/raw/master/csl-citation.json"}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(Kyngäs, 2019; Nevedal et al., 2021)</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Fase analisis induktif melibatkan pengidentifikasian atribut kunci dari para </w:t>
      </w:r>
      <w:proofErr w:type="gramStart"/>
      <w:r w:rsidRPr="009E5DBF">
        <w:rPr>
          <w:rFonts w:ascii="Book Antiqua" w:hAnsi="Book Antiqua"/>
          <w:sz w:val="24"/>
          <w:szCs w:val="24"/>
          <w:lang w:val="sv-SE"/>
        </w:rPr>
        <w:t>champion dan</w:t>
      </w:r>
      <w:proofErr w:type="gramEnd"/>
      <w:r w:rsidRPr="009E5DBF">
        <w:rPr>
          <w:rFonts w:ascii="Book Antiqua" w:hAnsi="Book Antiqua"/>
          <w:sz w:val="24"/>
          <w:szCs w:val="24"/>
          <w:lang w:val="sv-SE"/>
        </w:rPr>
        <w:t xml:space="preserve"> melakukan sintesis silang kasus untuk menemukan pola di antara atribut, konteks, dan hasil implementasi. Triangulasi data dilakukan dengan menggabungkan hasil wawancara, observasi lapangan, dan dokumentasi untuk </w:t>
      </w:r>
      <w:commentRangeStart w:id="2"/>
      <w:r w:rsidRPr="009E5DBF">
        <w:rPr>
          <w:rFonts w:ascii="Book Antiqua" w:hAnsi="Book Antiqua"/>
          <w:sz w:val="24"/>
          <w:szCs w:val="24"/>
          <w:lang w:val="sv-SE"/>
        </w:rPr>
        <w:t xml:space="preserve">memastikan </w:t>
      </w:r>
      <w:proofErr w:type="spellStart"/>
      <w:r w:rsidRPr="009E5DBF">
        <w:rPr>
          <w:rFonts w:ascii="Book Antiqua" w:hAnsi="Book Antiqua"/>
          <w:sz w:val="24"/>
          <w:szCs w:val="24"/>
          <w:lang w:val="sv-SE"/>
        </w:rPr>
        <w:t>validitas</w:t>
      </w:r>
      <w:proofErr w:type="spellEnd"/>
      <w:r w:rsidRPr="009E5DBF">
        <w:rPr>
          <w:rFonts w:ascii="Book Antiqua" w:hAnsi="Book Antiqua"/>
          <w:sz w:val="24"/>
          <w:szCs w:val="24"/>
          <w:lang w:val="sv-SE"/>
        </w:rPr>
        <w:t xml:space="preserve"> dan </w:t>
      </w:r>
      <w:proofErr w:type="spellStart"/>
      <w:r w:rsidRPr="009E5DBF">
        <w:rPr>
          <w:rFonts w:ascii="Book Antiqua" w:hAnsi="Book Antiqua"/>
          <w:sz w:val="24"/>
          <w:szCs w:val="24"/>
          <w:lang w:val="sv-SE"/>
        </w:rPr>
        <w:t>reliabilitas</w:t>
      </w:r>
      <w:proofErr w:type="spellEnd"/>
      <w:r w:rsidRPr="009E5DBF">
        <w:rPr>
          <w:rFonts w:ascii="Book Antiqua" w:hAnsi="Book Antiqua"/>
          <w:sz w:val="24"/>
          <w:szCs w:val="24"/>
          <w:lang w:val="sv-SE"/>
        </w:rPr>
        <w:t xml:space="preserve"> </w:t>
      </w:r>
      <w:proofErr w:type="spellStart"/>
      <w:r w:rsidRPr="009E5DBF">
        <w:rPr>
          <w:rFonts w:ascii="Book Antiqua" w:hAnsi="Book Antiqua"/>
          <w:sz w:val="24"/>
          <w:szCs w:val="24"/>
          <w:lang w:val="sv-SE"/>
        </w:rPr>
        <w:t>temuan</w:t>
      </w:r>
      <w:commentRangeEnd w:id="2"/>
      <w:proofErr w:type="spellEnd"/>
      <w:r w:rsidR="009715A6">
        <w:rPr>
          <w:rStyle w:val="ReferensiKomentar"/>
        </w:rPr>
        <w:commentReference w:id="2"/>
      </w:r>
      <w:r w:rsidRPr="009E5DBF">
        <w:rPr>
          <w:rFonts w:ascii="Book Antiqua" w:hAnsi="Book Antiqua"/>
          <w:sz w:val="24"/>
          <w:szCs w:val="24"/>
          <w:lang w:val="sv-SE"/>
        </w:rPr>
        <w:t xml:space="preserve">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{"citationItems":[{"id":"ITEM-1","itemData":{"DOI":"10.1186/s13012-021-01111-5","ISSN":"17485908","PMID":"34215286","abstract":"Background: Qualitative approaches, alone or in mixed methods, are prominent within implementation science. However, traditional qualitative approaches are resource intensive, which has led to the development of rapid qualitative approaches. Published rapid approaches are often inductive in nature and rely on transcripts of interviews. We describe a deductive rapid analysis approach using the Consolidated Framework for Implementation Research (CFIR) that uses notes and audio recordings. This paper compares our rapid versus traditional deductive CFIR approach. Methods: Semi-structured interviews were conducted for two cohorts of the Veterans Health Administration (VHA) Diffusion of Excellence (DoE). The CFIR guided data collection and analysis. In cohort A, we used our traditional CFIR-based deductive analysis approach (directed content analysis), where two analysts completed independent in-depth manual coding of interview transcripts using qualitative software. In cohort B, we used our new rapid CFIR-based deductive analysis approach (directed content analysis), where the primary analyst wrote detailed notes during interviews and immediately “coded” notes into a MS Excel CFIR construct by facility matrix; a secondary analyst then listened to audio recordings and edited the matrix. We tracked time for our traditional and rapid deductive CFIR approaches using a spreadsheet and captured transcription costs from invoices. We retrospectively compared our approaches in terms of effectiveness and rigor. Results: Cohorts A and B were similar in terms of the amount of data collected. However, our rapid deductive CFIR approach required 409.5 analyst hours compared to 683 h during the traditional deductive CFIR approach. The rapid deductive approach eliminated $7250 in transcription costs. The facility-level analysis phase provided the greatest savings: 14 h/facility for the traditional analysis versus 3.92 h/facility for the rapid analysis. Data interpretation required the same number of hours for both approaches. Conclusion: Our rapid deductive CFIR approach was less time intensive and eliminated transcription costs, yet effective in meeting evaluation objectives and establishing rigor. Researchers should consider the following when employing our approach: (1) team expertise in the CFIR and qualitative methods, (2) level of detail needed to meet project aims, (3) mode of data to analyze, and (4) advantages and disadvantages of using the CFIR.","author":[{"dropping-particle":"","family":"Nevedal","given":"Andrea L.","non-dropping-particle":"","parse-names":false,"suffix":""},{"dropping-particle":"","family":"Reardon","given":"Caitlin M.","non-dropping-particle":"","parse-names":false,"suffix":""},{"dropping-particle":"","family":"Opra Widerquist","given":"Marilla A.","non-dropping-particle":"","parse-names":false,"suffix":""},{"dropping-particle":"","family":"Jackson","given":"George L.","non-dropping-particle":"","parse-names":false,"suffix":""},{"dropping-particle":"","family":"Cutrona","given":"Sarah L.","non-dropping-particle":"","parse-names":false,"suffix":""},{"dropping-particle":"","family":"White","given":"Brandolyn S.","non-dropping-particle":"","parse-names":false,"suffix":""},{"dropping-particle":"","family":"Damschroder","given":"Laura J.","non-dropping-particle":"","parse-names":false,"suffix":""}],"container-title":"Implementation Science","id":"ITEM-1","issue":"1","issued":{"date-parts":[["2021"]]},"page":"1-12","publisher":"Implementation Science","title":"Rapid versus traditional qualitative analysis using the Consolidated Framework for Implementation Research (CFIR)","type":"article-journal","volume":"16"},"uris":["http://www.mendeley.com/documents/?uuid=52fffe40-03c9-4a71-8853-00029e6d78bc"]}],"mendeley":{"formattedCitation":"(Nevedal et al., 2021)","plainTextFormattedCitation":"(Nevedal et al., 2021)","previouslyFormattedCitation":"(Nevedal et al., 2021)"},"properties":{"noteIndex":0},"schema":"https://github.com/citation-style-language/schema/raw/master/csl-citation.json"}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(Nevedal et al., 2021)</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0E01FAB5"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Langkah-langkah implementasi meliputi identifikasi champion, pelatihan dan dukungan, serta pemantauan dan evaluasi. Champion diidentifikasi di setiap puskesmas sebagai individu yang memimpin upaya implementasi. Champion mendapatkan pelatihan dan dukungan untuk mengatasi hambatan implementasi. Proses implementasi dipantau secara terus-menerus, dan evaluasi dilakukan untuk mengukur keberhasilan dan mengidentifikasi </w:t>
      </w:r>
      <w:proofErr w:type="gramStart"/>
      <w:r w:rsidRPr="009E5DBF">
        <w:rPr>
          <w:rFonts w:ascii="Book Antiqua" w:hAnsi="Book Antiqua"/>
          <w:sz w:val="24"/>
          <w:szCs w:val="24"/>
          <w:lang w:val="sv-SE"/>
        </w:rPr>
        <w:t>area yang</w:t>
      </w:r>
      <w:proofErr w:type="gramEnd"/>
      <w:r w:rsidRPr="009E5DBF">
        <w:rPr>
          <w:rFonts w:ascii="Book Antiqua" w:hAnsi="Book Antiqua"/>
          <w:sz w:val="24"/>
          <w:szCs w:val="24"/>
          <w:lang w:val="sv-SE"/>
        </w:rPr>
        <w:t xml:space="preserve"> memerlukan perbaikan. Metodologi ini dirancang untuk mendapatkan pemahaman yang mendalam tentang peran champion dalam implementasi perawatan kontrasepsi pascapersalinan </w:t>
      </w:r>
      <w:proofErr w:type="gramStart"/>
      <w:r w:rsidRPr="009E5DBF">
        <w:rPr>
          <w:rFonts w:ascii="Book Antiqua" w:hAnsi="Book Antiqua"/>
          <w:sz w:val="24"/>
          <w:szCs w:val="24"/>
          <w:lang w:val="sv-SE"/>
        </w:rPr>
        <w:t>dan faktor</w:t>
      </w:r>
      <w:proofErr w:type="gramEnd"/>
      <w:r w:rsidRPr="009E5DBF">
        <w:rPr>
          <w:rFonts w:ascii="Book Antiqua" w:hAnsi="Book Antiqua"/>
          <w:sz w:val="24"/>
          <w:szCs w:val="24"/>
          <w:lang w:val="sv-SE"/>
        </w:rPr>
        <w:t>-faktor yang mempengaruhi keberhasilan mereka.</w:t>
      </w:r>
    </w:p>
    <w:p w14:paraId="7CFBA0CE" w14:textId="77777777" w:rsidR="009E5DBF" w:rsidRPr="009E5DBF" w:rsidRDefault="009E5DBF" w:rsidP="009E5DBF">
      <w:pPr>
        <w:ind w:firstLine="567"/>
        <w:jc w:val="both"/>
        <w:rPr>
          <w:rFonts w:ascii="Book Antiqua" w:hAnsi="Book Antiqua"/>
          <w:sz w:val="24"/>
          <w:szCs w:val="24"/>
          <w:lang w:val="sv-SE"/>
        </w:rPr>
      </w:pPr>
    </w:p>
    <w:p w14:paraId="5C5501BC" w14:textId="77777777" w:rsidR="009E5DBF" w:rsidRPr="009E5DBF" w:rsidRDefault="009E5DBF" w:rsidP="009E5DBF">
      <w:pPr>
        <w:jc w:val="center"/>
        <w:rPr>
          <w:rFonts w:ascii="Book Antiqua" w:hAnsi="Book Antiqua"/>
          <w:sz w:val="24"/>
          <w:szCs w:val="24"/>
          <w:lang w:val="sv-SE"/>
        </w:rPr>
      </w:pPr>
      <w:r w:rsidRPr="009E5DBF">
        <w:rPr>
          <w:rFonts w:ascii="Book Antiqua" w:hAnsi="Book Antiqua"/>
          <w:sz w:val="24"/>
          <w:szCs w:val="24"/>
          <w:lang w:val="sv-SE"/>
        </w:rPr>
        <w:t>Tabel 1</w:t>
      </w:r>
    </w:p>
    <w:p w14:paraId="44306FB9" w14:textId="77777777" w:rsidR="009E5DBF" w:rsidRPr="009E5DBF" w:rsidRDefault="009E5DBF" w:rsidP="009E5DBF">
      <w:pPr>
        <w:jc w:val="center"/>
        <w:rPr>
          <w:rFonts w:ascii="Book Antiqua" w:hAnsi="Book Antiqua"/>
          <w:sz w:val="24"/>
          <w:szCs w:val="24"/>
          <w:lang w:val="sv-SE"/>
        </w:rPr>
      </w:pPr>
      <w:r w:rsidRPr="009E5DBF">
        <w:rPr>
          <w:rFonts w:ascii="Book Antiqua" w:hAnsi="Book Antiqua"/>
          <w:sz w:val="24"/>
          <w:szCs w:val="24"/>
          <w:lang w:val="sv-SE"/>
        </w:rPr>
        <w:t>Kriteria Kualitatif Yang Digunakan Untuk Mengkategorikan Konteks Implementasi</w:t>
      </w:r>
    </w:p>
    <w:tbl>
      <w:tblPr>
        <w:tblStyle w:val="KisiTabel"/>
        <w:tblW w:w="94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9E5DBF" w:rsidRPr="009E5DBF" w14:paraId="7C802558" w14:textId="77777777" w:rsidTr="009E5DBF">
        <w:trPr>
          <w:trHeight w:val="438"/>
        </w:trPr>
        <w:tc>
          <w:tcPr>
            <w:tcW w:w="4700" w:type="dxa"/>
            <w:vAlign w:val="center"/>
          </w:tcPr>
          <w:p w14:paraId="113AF1AA" w14:textId="77777777" w:rsidR="009E5DBF" w:rsidRPr="009E5DBF" w:rsidRDefault="009E5DBF" w:rsidP="00230594">
            <w:pPr>
              <w:jc w:val="center"/>
              <w:rPr>
                <w:rFonts w:ascii="Book Antiqua" w:hAnsi="Book Antiqua"/>
                <w:bCs/>
                <w:sz w:val="24"/>
                <w:szCs w:val="24"/>
              </w:rPr>
            </w:pPr>
            <w:proofErr w:type="spellStart"/>
            <w:r w:rsidRPr="009E5DBF">
              <w:rPr>
                <w:rFonts w:ascii="Book Antiqua" w:hAnsi="Book Antiqua"/>
                <w:bCs/>
                <w:sz w:val="24"/>
                <w:szCs w:val="24"/>
              </w:rPr>
              <w:t>Konteks</w:t>
            </w:r>
            <w:proofErr w:type="spellEnd"/>
          </w:p>
        </w:tc>
        <w:tc>
          <w:tcPr>
            <w:tcW w:w="4700" w:type="dxa"/>
            <w:vAlign w:val="center"/>
          </w:tcPr>
          <w:p w14:paraId="1D55B7FD" w14:textId="77777777" w:rsidR="009E5DBF" w:rsidRPr="009E5DBF" w:rsidRDefault="009E5DBF" w:rsidP="00230594">
            <w:pPr>
              <w:jc w:val="center"/>
              <w:rPr>
                <w:rFonts w:ascii="Book Antiqua" w:hAnsi="Book Antiqua"/>
                <w:bCs/>
                <w:sz w:val="24"/>
                <w:szCs w:val="24"/>
                <w:lang w:val="sv-SE"/>
              </w:rPr>
            </w:pPr>
            <w:r w:rsidRPr="009E5DBF">
              <w:rPr>
                <w:rFonts w:ascii="Book Antiqua" w:hAnsi="Book Antiqua"/>
                <w:bCs/>
                <w:sz w:val="24"/>
                <w:szCs w:val="24"/>
                <w:lang w:val="sv-SE"/>
              </w:rPr>
              <w:t>Upaya yang Dibutuhkan dari Champion untuk Mengatasi Hambatan</w:t>
            </w:r>
          </w:p>
        </w:tc>
      </w:tr>
      <w:tr w:rsidR="009E5DBF" w:rsidRPr="009E5DBF" w14:paraId="2B3B8C01" w14:textId="77777777" w:rsidTr="009E5DBF">
        <w:trPr>
          <w:trHeight w:val="438"/>
        </w:trPr>
        <w:tc>
          <w:tcPr>
            <w:tcW w:w="4700" w:type="dxa"/>
            <w:vAlign w:val="center"/>
          </w:tcPr>
          <w:p w14:paraId="3D900140" w14:textId="77777777" w:rsidR="009E5DBF" w:rsidRPr="009E5DBF" w:rsidRDefault="009E5DBF" w:rsidP="00230594">
            <w:pPr>
              <w:rPr>
                <w:rFonts w:ascii="Book Antiqua" w:hAnsi="Book Antiqua"/>
                <w:sz w:val="24"/>
                <w:szCs w:val="24"/>
              </w:rPr>
            </w:pPr>
            <w:proofErr w:type="spellStart"/>
            <w:r w:rsidRPr="009E5DBF">
              <w:rPr>
                <w:rFonts w:ascii="Book Antiqua" w:hAnsi="Book Antiqua"/>
                <w:bCs/>
                <w:sz w:val="24"/>
                <w:szCs w:val="24"/>
              </w:rPr>
              <w:t>Konteks</w:t>
            </w:r>
            <w:proofErr w:type="spellEnd"/>
            <w:r w:rsidRPr="009E5DBF">
              <w:rPr>
                <w:rFonts w:ascii="Book Antiqua" w:hAnsi="Book Antiqua"/>
                <w:bCs/>
                <w:sz w:val="24"/>
                <w:szCs w:val="24"/>
              </w:rPr>
              <w:t xml:space="preserve"> </w:t>
            </w:r>
            <w:proofErr w:type="spellStart"/>
            <w:r w:rsidRPr="009E5DBF">
              <w:rPr>
                <w:rFonts w:ascii="Book Antiqua" w:hAnsi="Book Antiqua"/>
                <w:bCs/>
                <w:sz w:val="24"/>
                <w:szCs w:val="24"/>
              </w:rPr>
              <w:t>Eksternal</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Ketersediaan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Fasilitas</w:t>
            </w:r>
            <w:proofErr w:type="spellEnd"/>
          </w:p>
        </w:tc>
        <w:tc>
          <w:tcPr>
            <w:tcW w:w="4700" w:type="dxa"/>
            <w:vAlign w:val="center"/>
          </w:tcPr>
          <w:p w14:paraId="588CC3AC"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Fasilitas</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memadai</w:t>
            </w:r>
            <w:proofErr w:type="spellEnd"/>
          </w:p>
        </w:tc>
      </w:tr>
      <w:tr w:rsidR="009E5DBF" w:rsidRPr="009E5DBF" w14:paraId="6F3EE02F" w14:textId="77777777" w:rsidTr="009E5DBF">
        <w:trPr>
          <w:trHeight w:val="438"/>
        </w:trPr>
        <w:tc>
          <w:tcPr>
            <w:tcW w:w="4700" w:type="dxa"/>
            <w:vAlign w:val="center"/>
          </w:tcPr>
          <w:p w14:paraId="2676D922" w14:textId="77777777" w:rsidR="009E5DBF" w:rsidRPr="009E5DBF" w:rsidRDefault="009E5DBF" w:rsidP="00230594">
            <w:pPr>
              <w:rPr>
                <w:rFonts w:ascii="Book Antiqua" w:hAnsi="Book Antiqua"/>
                <w:sz w:val="24"/>
                <w:szCs w:val="24"/>
                <w:lang w:val="sv-SE"/>
              </w:rPr>
            </w:pPr>
            <w:r w:rsidRPr="009E5DBF">
              <w:rPr>
                <w:rFonts w:ascii="Book Antiqua" w:hAnsi="Book Antiqua"/>
                <w:bCs/>
                <w:sz w:val="24"/>
                <w:szCs w:val="24"/>
                <w:lang w:val="sv-SE"/>
              </w:rPr>
              <w:t>Konteks Internal</w:t>
            </w:r>
            <w:r w:rsidRPr="009E5DBF">
              <w:rPr>
                <w:rFonts w:ascii="Book Antiqua" w:hAnsi="Book Antiqua"/>
                <w:sz w:val="24"/>
                <w:szCs w:val="24"/>
                <w:lang w:val="sv-SE"/>
              </w:rPr>
              <w:t>: Dukungan Manajemen dan SDM</w:t>
            </w:r>
          </w:p>
        </w:tc>
        <w:tc>
          <w:tcPr>
            <w:tcW w:w="4700" w:type="dxa"/>
            <w:vAlign w:val="center"/>
          </w:tcPr>
          <w:p w14:paraId="3874ADDE" w14:textId="77777777" w:rsidR="009E5DBF" w:rsidRPr="009E5DBF" w:rsidRDefault="009E5DBF" w:rsidP="00230594">
            <w:pPr>
              <w:rPr>
                <w:rFonts w:ascii="Book Antiqua" w:hAnsi="Book Antiqua"/>
                <w:sz w:val="24"/>
                <w:szCs w:val="24"/>
                <w:lang w:val="sv-SE"/>
              </w:rPr>
            </w:pPr>
            <w:r w:rsidRPr="009E5DBF">
              <w:rPr>
                <w:rFonts w:ascii="Book Antiqua" w:hAnsi="Book Antiqua"/>
                <w:sz w:val="24"/>
                <w:szCs w:val="24"/>
                <w:lang w:val="sv-SE"/>
              </w:rPr>
              <w:t>Dukungan manajemen yang kuat, SDM memadai</w:t>
            </w:r>
          </w:p>
        </w:tc>
      </w:tr>
      <w:tr w:rsidR="009E5DBF" w:rsidRPr="009E5DBF" w14:paraId="0A1629DB" w14:textId="77777777" w:rsidTr="009E5DBF">
        <w:trPr>
          <w:trHeight w:val="438"/>
        </w:trPr>
        <w:tc>
          <w:tcPr>
            <w:tcW w:w="4700" w:type="dxa"/>
            <w:vAlign w:val="center"/>
          </w:tcPr>
          <w:p w14:paraId="5A2B504D" w14:textId="77777777" w:rsidR="009E5DBF" w:rsidRPr="009E5DBF" w:rsidRDefault="009E5DBF" w:rsidP="00230594">
            <w:pPr>
              <w:rPr>
                <w:rFonts w:ascii="Book Antiqua" w:hAnsi="Book Antiqua"/>
                <w:sz w:val="24"/>
                <w:szCs w:val="24"/>
                <w:lang w:val="sv-SE"/>
              </w:rPr>
            </w:pPr>
            <w:r w:rsidRPr="009E5DBF">
              <w:rPr>
                <w:rFonts w:ascii="Book Antiqua" w:hAnsi="Book Antiqua"/>
                <w:bCs/>
                <w:sz w:val="24"/>
                <w:szCs w:val="24"/>
                <w:lang w:val="sv-SE"/>
              </w:rPr>
              <w:t>Karakteristik Individu</w:t>
            </w:r>
            <w:r w:rsidRPr="009E5DBF">
              <w:rPr>
                <w:rFonts w:ascii="Book Antiqua" w:hAnsi="Book Antiqua"/>
                <w:sz w:val="24"/>
                <w:szCs w:val="24"/>
                <w:lang w:val="sv-SE"/>
              </w:rPr>
              <w:t>: Sikap terhadap inovasi</w:t>
            </w:r>
          </w:p>
        </w:tc>
        <w:tc>
          <w:tcPr>
            <w:tcW w:w="4700" w:type="dxa"/>
            <w:vAlign w:val="center"/>
          </w:tcPr>
          <w:p w14:paraId="4AB48319" w14:textId="77777777" w:rsidR="009E5DBF" w:rsidRPr="009E5DBF" w:rsidRDefault="009E5DBF" w:rsidP="00230594">
            <w:pPr>
              <w:rPr>
                <w:rFonts w:ascii="Book Antiqua" w:hAnsi="Book Antiqua"/>
                <w:sz w:val="24"/>
                <w:szCs w:val="24"/>
                <w:lang w:val="sv-SE"/>
              </w:rPr>
            </w:pPr>
            <w:r w:rsidRPr="009E5DBF">
              <w:rPr>
                <w:rFonts w:ascii="Book Antiqua" w:hAnsi="Book Antiqua"/>
                <w:sz w:val="24"/>
                <w:szCs w:val="24"/>
                <w:lang w:val="sv-SE"/>
              </w:rPr>
              <w:t>Sedikit atau tidak ada perlawanan dari kelompok manapun</w:t>
            </w:r>
          </w:p>
        </w:tc>
      </w:tr>
    </w:tbl>
    <w:p w14:paraId="0F506CE3" w14:textId="77777777" w:rsidR="009E5DBF" w:rsidRPr="009E5DBF" w:rsidRDefault="009E5DBF" w:rsidP="009E5DBF">
      <w:pPr>
        <w:ind w:firstLine="567"/>
        <w:jc w:val="both"/>
        <w:rPr>
          <w:rFonts w:ascii="Book Antiqua" w:hAnsi="Book Antiqua"/>
          <w:sz w:val="24"/>
          <w:szCs w:val="24"/>
          <w:lang w:val="sv-SE"/>
        </w:rPr>
      </w:pPr>
    </w:p>
    <w:p w14:paraId="561129E1" w14:textId="5DED0E2B" w:rsidR="00380179" w:rsidRPr="009E5DBF" w:rsidRDefault="00380179" w:rsidP="00380179">
      <w:pPr>
        <w:ind w:firstLine="720"/>
        <w:jc w:val="both"/>
        <w:rPr>
          <w:rFonts w:ascii="Book Antiqua" w:hAnsi="Book Antiqua"/>
          <w:color w:val="000000" w:themeColor="text1"/>
          <w:sz w:val="24"/>
          <w:szCs w:val="24"/>
        </w:rPr>
      </w:pPr>
      <w:r w:rsidRPr="009E5DBF">
        <w:rPr>
          <w:rFonts w:ascii="Book Antiqua" w:hAnsi="Book Antiqua"/>
          <w:color w:val="000000" w:themeColor="text1"/>
          <w:sz w:val="24"/>
          <w:szCs w:val="24"/>
        </w:rPr>
        <w:t xml:space="preserve"> </w:t>
      </w:r>
    </w:p>
    <w:p w14:paraId="4889DF59" w14:textId="77777777" w:rsidR="000D1377" w:rsidRPr="009E5DBF" w:rsidRDefault="000D1377" w:rsidP="000D1377">
      <w:pPr>
        <w:tabs>
          <w:tab w:val="left" w:pos="426"/>
        </w:tabs>
        <w:ind w:left="426"/>
        <w:rPr>
          <w:rFonts w:ascii="Book Antiqua" w:hAnsi="Book Antiqua"/>
          <w:b/>
          <w:bCs/>
          <w:sz w:val="24"/>
          <w:szCs w:val="24"/>
          <w:lang w:val="id-ID"/>
        </w:rPr>
      </w:pPr>
    </w:p>
    <w:p w14:paraId="7C9321EF" w14:textId="4818D682" w:rsidR="000D1377" w:rsidRPr="009E5DBF" w:rsidRDefault="000D1377" w:rsidP="00380179">
      <w:pPr>
        <w:tabs>
          <w:tab w:val="left" w:pos="426"/>
        </w:tabs>
        <w:rPr>
          <w:rFonts w:ascii="Book Antiqua" w:hAnsi="Book Antiqua"/>
          <w:b/>
          <w:bCs/>
          <w:sz w:val="24"/>
          <w:szCs w:val="24"/>
          <w:lang w:val="id-ID"/>
        </w:rPr>
      </w:pPr>
      <w:r w:rsidRPr="009E5DBF">
        <w:rPr>
          <w:rFonts w:ascii="Book Antiqua" w:hAnsi="Book Antiqua"/>
          <w:b/>
          <w:bCs/>
          <w:sz w:val="24"/>
          <w:szCs w:val="24"/>
        </w:rPr>
        <w:t xml:space="preserve">HASIL DAN </w:t>
      </w:r>
      <w:commentRangeStart w:id="3"/>
      <w:r w:rsidRPr="009E5DBF">
        <w:rPr>
          <w:rFonts w:ascii="Book Antiqua" w:hAnsi="Book Antiqua"/>
          <w:b/>
          <w:bCs/>
          <w:sz w:val="24"/>
          <w:szCs w:val="24"/>
        </w:rPr>
        <w:t>PEMBAHASAN</w:t>
      </w:r>
      <w:commentRangeEnd w:id="3"/>
      <w:r w:rsidR="00542FDA">
        <w:rPr>
          <w:rStyle w:val="ReferensiKomentar"/>
        </w:rPr>
        <w:commentReference w:id="3"/>
      </w:r>
    </w:p>
    <w:p w14:paraId="365C42D5" w14:textId="14EE7B64" w:rsidR="009E5DBF" w:rsidRPr="009E5DBF" w:rsidRDefault="00380179" w:rsidP="009E5DBF">
      <w:pPr>
        <w:ind w:firstLine="567"/>
        <w:jc w:val="both"/>
        <w:rPr>
          <w:rFonts w:ascii="Book Antiqua" w:hAnsi="Book Antiqua"/>
          <w:sz w:val="24"/>
          <w:szCs w:val="24"/>
          <w:lang w:val="sv-SE"/>
        </w:rPr>
      </w:pPr>
      <w:r w:rsidRPr="009E5DBF">
        <w:rPr>
          <w:rFonts w:ascii="Book Antiqua" w:hAnsi="Book Antiqua"/>
          <w:bCs/>
          <w:sz w:val="24"/>
          <w:szCs w:val="24"/>
        </w:rPr>
        <w:tab/>
      </w:r>
      <w:proofErr w:type="spellStart"/>
      <w:r w:rsidR="009E5DBF" w:rsidRPr="009E5DBF">
        <w:rPr>
          <w:rFonts w:ascii="Book Antiqua" w:hAnsi="Book Antiqua"/>
          <w:sz w:val="24"/>
          <w:szCs w:val="24"/>
        </w:rPr>
        <w:t>Informasi</w:t>
      </w:r>
      <w:proofErr w:type="spellEnd"/>
      <w:r w:rsidR="009E5DBF" w:rsidRPr="009E5DBF">
        <w:rPr>
          <w:rFonts w:ascii="Book Antiqua" w:hAnsi="Book Antiqua"/>
          <w:sz w:val="24"/>
          <w:szCs w:val="24"/>
        </w:rPr>
        <w:t xml:space="preserve"> yang </w:t>
      </w:r>
      <w:proofErr w:type="spellStart"/>
      <w:r w:rsidR="009E5DBF" w:rsidRPr="009E5DBF">
        <w:rPr>
          <w:rFonts w:ascii="Book Antiqua" w:hAnsi="Book Antiqua"/>
          <w:sz w:val="24"/>
          <w:szCs w:val="24"/>
        </w:rPr>
        <w:t>dikumpulkan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dari</w:t>
      </w:r>
      <w:proofErr w:type="spellEnd"/>
      <w:r w:rsidR="009E5DBF" w:rsidRPr="009E5DBF">
        <w:rPr>
          <w:rFonts w:ascii="Book Antiqua" w:hAnsi="Book Antiqua"/>
          <w:sz w:val="24"/>
          <w:szCs w:val="24"/>
        </w:rPr>
        <w:t xml:space="preserve"> 11 </w:t>
      </w:r>
      <w:proofErr w:type="spellStart"/>
      <w:r w:rsidR="009E5DBF" w:rsidRPr="009E5DBF">
        <w:rPr>
          <w:rFonts w:ascii="Book Antiqua" w:hAnsi="Book Antiqua"/>
          <w:sz w:val="24"/>
          <w:szCs w:val="24"/>
        </w:rPr>
        <w:t>puskesmas</w:t>
      </w:r>
      <w:proofErr w:type="spellEnd"/>
      <w:r w:rsidR="009E5DBF" w:rsidRPr="009E5DBF">
        <w:rPr>
          <w:rFonts w:ascii="Book Antiqua" w:hAnsi="Book Antiqua"/>
          <w:sz w:val="24"/>
          <w:szCs w:val="24"/>
        </w:rPr>
        <w:t xml:space="preserve"> yang </w:t>
      </w:r>
      <w:proofErr w:type="spellStart"/>
      <w:r w:rsidR="009E5DBF" w:rsidRPr="009E5DBF">
        <w:rPr>
          <w:rFonts w:ascii="Book Antiqua" w:hAnsi="Book Antiqua"/>
          <w:sz w:val="24"/>
          <w:szCs w:val="24"/>
        </w:rPr>
        <w:t>berpartisipasi</w:t>
      </w:r>
      <w:proofErr w:type="spellEnd"/>
      <w:r w:rsidR="009E5DBF" w:rsidRPr="009E5DBF">
        <w:rPr>
          <w:rFonts w:ascii="Book Antiqua" w:hAnsi="Book Antiqua"/>
          <w:sz w:val="24"/>
          <w:szCs w:val="24"/>
        </w:rPr>
        <w:t xml:space="preserve"> di Kota Bengkulu </w:t>
      </w:r>
      <w:proofErr w:type="spellStart"/>
      <w:r w:rsidR="009E5DBF" w:rsidRPr="009E5DBF">
        <w:rPr>
          <w:rFonts w:ascii="Book Antiqua" w:hAnsi="Book Antiqua"/>
          <w:sz w:val="24"/>
          <w:szCs w:val="24"/>
        </w:rPr>
        <w:t>menunjukkan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bahwa</w:t>
      </w:r>
      <w:proofErr w:type="spellEnd"/>
      <w:r w:rsidR="009E5DBF" w:rsidRPr="009E5DBF">
        <w:rPr>
          <w:rFonts w:ascii="Book Antiqua" w:hAnsi="Book Antiqua"/>
          <w:sz w:val="24"/>
          <w:szCs w:val="24"/>
        </w:rPr>
        <w:t xml:space="preserve"> volume </w:t>
      </w:r>
      <w:proofErr w:type="spellStart"/>
      <w:r w:rsidR="009E5DBF" w:rsidRPr="009E5DBF">
        <w:rPr>
          <w:rFonts w:ascii="Book Antiqua" w:hAnsi="Book Antiqua"/>
          <w:sz w:val="24"/>
          <w:szCs w:val="24"/>
        </w:rPr>
        <w:t>persalinan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tahunan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mereka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berkisar</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antara</w:t>
      </w:r>
      <w:proofErr w:type="spellEnd"/>
      <w:r w:rsidR="009E5DBF" w:rsidRPr="009E5DBF">
        <w:rPr>
          <w:rFonts w:ascii="Book Antiqua" w:hAnsi="Book Antiqua"/>
          <w:sz w:val="24"/>
          <w:szCs w:val="24"/>
        </w:rPr>
        <w:t xml:space="preserve"> 2.400 </w:t>
      </w:r>
      <w:proofErr w:type="spellStart"/>
      <w:r w:rsidR="009E5DBF" w:rsidRPr="009E5DBF">
        <w:rPr>
          <w:rFonts w:ascii="Book Antiqua" w:hAnsi="Book Antiqua"/>
          <w:sz w:val="24"/>
          <w:szCs w:val="24"/>
        </w:rPr>
        <w:t>hingga</w:t>
      </w:r>
      <w:proofErr w:type="spellEnd"/>
      <w:r w:rsidR="009E5DBF" w:rsidRPr="009E5DBF">
        <w:rPr>
          <w:rFonts w:ascii="Book Antiqua" w:hAnsi="Book Antiqua"/>
          <w:sz w:val="24"/>
          <w:szCs w:val="24"/>
        </w:rPr>
        <w:t xml:space="preserve"> 6.000 </w:t>
      </w:r>
      <w:proofErr w:type="spellStart"/>
      <w:r w:rsidR="009E5DBF" w:rsidRPr="009E5DBF">
        <w:rPr>
          <w:rFonts w:ascii="Book Antiqua" w:hAnsi="Book Antiqua"/>
          <w:sz w:val="24"/>
          <w:szCs w:val="24"/>
        </w:rPr>
        <w:t>kelahiran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menjadikannya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fasilitas</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kesehatan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menengah</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hingga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besar</w:t>
      </w:r>
      <w:proofErr w:type="spellEnd"/>
      <w:r w:rsidR="009E5DBF" w:rsidRPr="009E5DBF">
        <w:rPr>
          <w:rFonts w:ascii="Book Antiqua" w:hAnsi="Book Antiqua"/>
          <w:sz w:val="24"/>
          <w:szCs w:val="24"/>
        </w:rPr>
        <w:t xml:space="preserve">. Kami </w:t>
      </w:r>
      <w:proofErr w:type="spellStart"/>
      <w:r w:rsidR="009E5DBF" w:rsidRPr="009E5DBF">
        <w:rPr>
          <w:rFonts w:ascii="Book Antiqua" w:hAnsi="Book Antiqua"/>
          <w:sz w:val="24"/>
          <w:szCs w:val="24"/>
        </w:rPr>
        <w:t>melakukan</w:t>
      </w:r>
      <w:proofErr w:type="spellEnd"/>
      <w:r w:rsidR="009E5DBF" w:rsidRPr="009E5DBF">
        <w:rPr>
          <w:rFonts w:ascii="Book Antiqua" w:hAnsi="Book Antiqua"/>
          <w:sz w:val="24"/>
          <w:szCs w:val="24"/>
        </w:rPr>
        <w:t xml:space="preserve"> 78 </w:t>
      </w:r>
      <w:proofErr w:type="spellStart"/>
      <w:r w:rsidR="009E5DBF" w:rsidRPr="009E5DBF">
        <w:rPr>
          <w:rFonts w:ascii="Book Antiqua" w:hAnsi="Book Antiqua"/>
          <w:sz w:val="24"/>
          <w:szCs w:val="24"/>
        </w:rPr>
        <w:t>wawancara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dengan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informan</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kunci</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terdiri</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dari</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lastRenderedPageBreak/>
        <w:t>enam</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belas</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wawancara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secara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langsung</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empat</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wawancara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melalui</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telepon</w:t>
      </w:r>
      <w:proofErr w:type="spellEnd"/>
      <w:r w:rsidR="009E5DBF" w:rsidRPr="009E5DBF">
        <w:rPr>
          <w:rFonts w:ascii="Book Antiqua" w:hAnsi="Book Antiqua"/>
          <w:sz w:val="24"/>
          <w:szCs w:val="24"/>
        </w:rPr>
        <w:t xml:space="preserve">, dan </w:t>
      </w:r>
      <w:proofErr w:type="spellStart"/>
      <w:r w:rsidR="009E5DBF" w:rsidRPr="009E5DBF">
        <w:rPr>
          <w:rFonts w:ascii="Book Antiqua" w:hAnsi="Book Antiqua"/>
          <w:sz w:val="24"/>
          <w:szCs w:val="24"/>
        </w:rPr>
        <w:t>satu</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wawancara</w:t>
      </w:r>
      <w:proofErr w:type="spellEnd"/>
      <w:r w:rsidR="009E5DBF" w:rsidRPr="009E5DBF">
        <w:rPr>
          <w:rFonts w:ascii="Book Antiqua" w:hAnsi="Book Antiqua"/>
          <w:sz w:val="24"/>
          <w:szCs w:val="24"/>
        </w:rPr>
        <w:t xml:space="preserve"> </w:t>
      </w:r>
      <w:proofErr w:type="spellStart"/>
      <w:r w:rsidR="009E5DBF" w:rsidRPr="009E5DBF">
        <w:rPr>
          <w:rFonts w:ascii="Book Antiqua" w:hAnsi="Book Antiqua"/>
          <w:sz w:val="24"/>
          <w:szCs w:val="24"/>
        </w:rPr>
        <w:t>melalui</w:t>
      </w:r>
      <w:proofErr w:type="spellEnd"/>
      <w:r w:rsidR="009E5DBF" w:rsidRPr="009E5DBF">
        <w:rPr>
          <w:rFonts w:ascii="Book Antiqua" w:hAnsi="Book Antiqua"/>
          <w:sz w:val="24"/>
          <w:szCs w:val="24"/>
        </w:rPr>
        <w:t xml:space="preserve"> email. </w:t>
      </w:r>
      <w:r w:rsidR="009E5DBF" w:rsidRPr="009E5DBF">
        <w:rPr>
          <w:rFonts w:ascii="Book Antiqua" w:hAnsi="Book Antiqua"/>
          <w:sz w:val="24"/>
          <w:szCs w:val="24"/>
          <w:lang w:val="sv-SE"/>
        </w:rPr>
        <w:t xml:space="preserve">Rata-rata waktu yang dihabiskan untuk wawancara adalah 35 menit, dengan rentang antara 11 hingga 65 menit. Setiap puskesmas memiliki </w:t>
      </w:r>
      <w:proofErr w:type="gramStart"/>
      <w:r w:rsidR="009E5DBF" w:rsidRPr="009E5DBF">
        <w:rPr>
          <w:rFonts w:ascii="Book Antiqua" w:hAnsi="Book Antiqua"/>
          <w:sz w:val="24"/>
          <w:szCs w:val="24"/>
          <w:lang w:val="sv-SE"/>
        </w:rPr>
        <w:t>5-10</w:t>
      </w:r>
      <w:proofErr w:type="gramEnd"/>
      <w:r w:rsidR="009E5DBF" w:rsidRPr="009E5DBF">
        <w:rPr>
          <w:rFonts w:ascii="Book Antiqua" w:hAnsi="Book Antiqua"/>
          <w:sz w:val="24"/>
          <w:szCs w:val="24"/>
          <w:lang w:val="sv-SE"/>
        </w:rPr>
        <w:t xml:space="preserve"> informan kunci (rata-rata 7,1). Informan yang diwawancarai termasuk dokter garis depan (n = 33), manajer puskesmas (n = 9), pemimpin implementasi (n = 12), dan staf operasional (n = 24).</w:t>
      </w:r>
    </w:p>
    <w:p w14:paraId="55AACFB0" w14:textId="77777777" w:rsidR="009E5DBF" w:rsidRPr="009E5DBF" w:rsidRDefault="009E5DBF" w:rsidP="009E5DBF">
      <w:pPr>
        <w:ind w:firstLine="567"/>
        <w:jc w:val="both"/>
        <w:rPr>
          <w:rFonts w:ascii="Book Antiqua" w:hAnsi="Book Antiqua"/>
          <w:sz w:val="24"/>
          <w:szCs w:val="24"/>
          <w:lang w:val="sv-SE"/>
        </w:rPr>
      </w:pPr>
    </w:p>
    <w:p w14:paraId="0C7CA692"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 xml:space="preserve">Hasil dan konteks implementasi </w:t>
      </w:r>
    </w:p>
    <w:p w14:paraId="250EE391"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Hasil dan konteks implementasi menunjukkan bahwa sembilan dari sebelas puskesmas yang berpartisipasi telah berhasil dan secara berkelanjutan merutinkan layanan. Satu puskesmas berhasil membuat jadwal layanan, namun akhirnya dihentikan karena adanya hambatan eksternal. Layanan di satu puskesmas belum dirutinkan dengan baik. Para champion beroperasi di berbagai situasi, masing-masing dengan hambatannya sendiri yang disebabkan oleh aspek eksternal, internal, dan pribadi dari situasi tersebut. Penyebab utama dari pembatasan konteks eksternal adalah disinsentif keuangan yang diberlakukan oleh kebijakan pembayaran BPJS pada layanan baru ini. Terlepas dari kenyataan bahwa alat ini mahal (harga IUD berkisar antara Rp 200.000 hingga Rp 2.500.000 per unit), layanan persalinan sering dikompensasi dengan pembayaran global tunggal yang tidak bertambah dengan pasokan IUD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{"citationItems":[{"id":"ITEM-1","itemData":{"URL":"https://skata.info/article/detail/1102/berapa-harga-iud-dan-biaya-pasangnya","author":[{"dropping-particle":"","family":"Anggraini","given":"dr. Sabrina","non-dropping-particle":"","parse-names":false,"suffix":""}],"container-title":"Skata","id":"ITEM-1","issued":{"date-parts":[["2021"]]},"title":"Berapa Harga IUD dan Biaya Pasangnya?","type":"webpage"},"uris":["http://www.mendeley.com/documents/?uuid=85e5010a-d4c3-4b58-baba-2dea71bb6fc7"]},{"id":"ITEM-2","itemData":{"URL":"https://harga.web.id/harga-iud-andalan-merk-jenis.info","author":[{"dropping-particle":"","family":"Kartika","given":"Dian","non-dropping-particle":"","parse-names":false,"suffix":""}],"id":"ITEM-2","issued":{"date-parts":[["2023"]]},"title":"Update Harga IUD Andalan (Strip dan Box)","type":"webpage"},"uris":["http://www.mendeley.com/documents/?uuid=50441130-d668-4480-8a79-5e9c8edfb957"]}],"mendeley":{"formattedCitation":"(Anggraini, 2021; Kartika, 2023)","plainTextFormattedCitation":"(Anggraini, 2021; Kartika, 2023)","previouslyFormattedCitation":"(Anggraini, 2021; Kartika, 2023)"},"properties":{"noteIndex":0},"schema":"https://github.com/citation-style-language/schema/raw/master/csl-citation.json"}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(Anggraini, 2021; Kartika, 2023)</w:t>
      </w:r>
      <w:r w:rsidRPr="009E5DBF">
        <w:rPr>
          <w:rFonts w:ascii="Book Antiqua" w:hAnsi="Book Antiqua"/>
          <w:sz w:val="24"/>
          <w:szCs w:val="24"/>
          <w:lang w:val="sv-SE"/>
        </w:rPr>
        <w:fldChar w:fldCharType="end"/>
      </w:r>
      <w:r w:rsidRPr="009E5DBF">
        <w:rPr>
          <w:rFonts w:ascii="Book Antiqua" w:hAnsi="Book Antiqua"/>
          <w:sz w:val="24"/>
          <w:szCs w:val="24"/>
          <w:lang w:val="sv-SE"/>
        </w:rPr>
        <w:t>. Beberapa kebijakan mulai membayar IUD secara terpisah dan tidak digabungkan, namun beberapa puskesmas menghadapi lingkungan eksternal yang sulit di mana pembayar telah berjanji untuk membayar layanan baru tapi tidak pernah memenuhi janji-janji tersebut. Sejumlah puskesmas lain menghadapi hambatan konteks internal yang moderat terhadap keberhasilan implementasi (lokasi 5 dan 10) dan yang signifikan (lokasi 8, 9, dan 11); hambatan ini termasuk masalah dengan ukuran dan silo organisasi, hubungan yang tidak memadai dan proses komunikasi di antara para pemangku kepentingan, iklim pembelajaran yang tidak mendukung, dan ketidaksesuaian dalam alur kerja. Pendamping untuk lokasi 11 menghadapi lingkungan internal yang sangat sulit untuk implementasi, dengan keengganan manajer puskesmas untuk berubah di atas hambatan konteks internal lainnya. Kepala puskesmas di lokasi ini mendukung implan kontrasepsi, tetapi mereka tidak setuju apakah dokter harus memiliki hak klinis yang terpisah untuk pemasangan IUD pascapersalinan dan menyatakan kekhawatiran mereka tentang keamanan penyediaan IUD saat pasien berada di puskesmas. Tempat ini akhirnya tidak dapat menyediakan IUD tanpa izin dari manajemen puskesmas.</w:t>
      </w:r>
    </w:p>
    <w:p w14:paraId="473CF1D0" w14:textId="77777777" w:rsidR="009E5DBF" w:rsidRPr="009E5DBF" w:rsidRDefault="009E5DBF" w:rsidP="009E5DBF">
      <w:pPr>
        <w:jc w:val="center"/>
        <w:rPr>
          <w:rFonts w:ascii="Book Antiqua" w:hAnsi="Book Antiqua"/>
          <w:b/>
          <w:sz w:val="24"/>
          <w:szCs w:val="24"/>
          <w:lang w:val="sv-SE"/>
        </w:rPr>
      </w:pPr>
      <w:r w:rsidRPr="009E5DBF">
        <w:rPr>
          <w:rFonts w:ascii="Book Antiqua" w:hAnsi="Book Antiqua"/>
          <w:b/>
          <w:sz w:val="24"/>
          <w:szCs w:val="24"/>
          <w:lang w:val="sv-SE"/>
        </w:rPr>
        <w:t xml:space="preserve">Tabel 2 </w:t>
      </w:r>
    </w:p>
    <w:p w14:paraId="0815A4FD" w14:textId="77777777" w:rsidR="009E5DBF" w:rsidRPr="009E5DBF" w:rsidRDefault="009E5DBF" w:rsidP="009E5DBF">
      <w:pPr>
        <w:jc w:val="center"/>
        <w:rPr>
          <w:rFonts w:ascii="Book Antiqua" w:hAnsi="Book Antiqua"/>
          <w:sz w:val="24"/>
          <w:szCs w:val="24"/>
          <w:lang w:val="sv-SE"/>
        </w:rPr>
      </w:pPr>
      <w:r w:rsidRPr="009E5DBF">
        <w:rPr>
          <w:rFonts w:ascii="Book Antiqua" w:hAnsi="Book Antiqua"/>
          <w:sz w:val="24"/>
          <w:szCs w:val="24"/>
          <w:lang w:val="sv-SE"/>
        </w:rPr>
        <w:t>Hasil Implementasi, Konteks Implementasi, Dan Atribut Juara, Berdasarkan Lokasi</w:t>
      </w:r>
    </w:p>
    <w:tbl>
      <w:tblPr>
        <w:tblStyle w:val="KisiTabel"/>
        <w:tblW w:w="89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842"/>
        <w:gridCol w:w="2581"/>
        <w:gridCol w:w="2835"/>
      </w:tblGrid>
      <w:tr w:rsidR="009E5DBF" w:rsidRPr="009E5DBF" w14:paraId="7CEAF327" w14:textId="77777777" w:rsidTr="008B61C2">
        <w:trPr>
          <w:trHeight w:val="292"/>
        </w:trPr>
        <w:tc>
          <w:tcPr>
            <w:tcW w:w="1668" w:type="dxa"/>
            <w:vAlign w:val="center"/>
          </w:tcPr>
          <w:p w14:paraId="41672B04" w14:textId="77777777" w:rsidR="009E5DBF" w:rsidRPr="009E5DBF" w:rsidRDefault="009E5DBF" w:rsidP="00230594">
            <w:pPr>
              <w:jc w:val="center"/>
              <w:rPr>
                <w:rFonts w:ascii="Book Antiqua" w:hAnsi="Book Antiqua"/>
                <w:b/>
                <w:bCs/>
                <w:sz w:val="24"/>
                <w:szCs w:val="24"/>
              </w:rPr>
            </w:pPr>
            <w:proofErr w:type="spellStart"/>
            <w:r w:rsidRPr="009E5DBF">
              <w:rPr>
                <w:rFonts w:ascii="Book Antiqua" w:hAnsi="Book Antiqua"/>
                <w:b/>
                <w:bCs/>
                <w:sz w:val="24"/>
                <w:szCs w:val="24"/>
              </w:rPr>
              <w:t>Identifikasi</w:t>
            </w:r>
            <w:proofErr w:type="spellEnd"/>
            <w:r w:rsidRPr="009E5DBF">
              <w:rPr>
                <w:rFonts w:ascii="Book Antiqua" w:hAnsi="Book Antiqua"/>
                <w:b/>
                <w:bCs/>
                <w:sz w:val="24"/>
                <w:szCs w:val="24"/>
              </w:rPr>
              <w:t xml:space="preserve"> Lokasi</w:t>
            </w:r>
          </w:p>
        </w:tc>
        <w:tc>
          <w:tcPr>
            <w:tcW w:w="1842" w:type="dxa"/>
            <w:vAlign w:val="center"/>
          </w:tcPr>
          <w:p w14:paraId="2DEA1FA1" w14:textId="77777777" w:rsidR="009E5DBF" w:rsidRPr="009E5DBF" w:rsidRDefault="009E5DBF" w:rsidP="00230594">
            <w:pPr>
              <w:jc w:val="center"/>
              <w:rPr>
                <w:rFonts w:ascii="Book Antiqua" w:hAnsi="Book Antiqua"/>
                <w:b/>
                <w:bCs/>
                <w:sz w:val="24"/>
                <w:szCs w:val="24"/>
              </w:rPr>
            </w:pPr>
            <w:r w:rsidRPr="009E5DBF">
              <w:rPr>
                <w:rFonts w:ascii="Book Antiqua" w:hAnsi="Book Antiqua"/>
                <w:b/>
                <w:bCs/>
                <w:sz w:val="24"/>
                <w:szCs w:val="24"/>
              </w:rPr>
              <w:t xml:space="preserve">Hasil </w:t>
            </w:r>
            <w:proofErr w:type="spellStart"/>
            <w:r w:rsidRPr="009E5DBF">
              <w:rPr>
                <w:rFonts w:ascii="Book Antiqua" w:hAnsi="Book Antiqua"/>
                <w:b/>
                <w:bCs/>
                <w:sz w:val="24"/>
                <w:szCs w:val="24"/>
              </w:rPr>
              <w:t>Implementasi</w:t>
            </w:r>
            <w:proofErr w:type="spellEnd"/>
          </w:p>
        </w:tc>
        <w:tc>
          <w:tcPr>
            <w:tcW w:w="2581" w:type="dxa"/>
            <w:vAlign w:val="center"/>
          </w:tcPr>
          <w:p w14:paraId="09CC41E7" w14:textId="77777777" w:rsidR="009E5DBF" w:rsidRPr="009E5DBF" w:rsidRDefault="009E5DBF" w:rsidP="00230594">
            <w:pPr>
              <w:jc w:val="center"/>
              <w:rPr>
                <w:rFonts w:ascii="Book Antiqua" w:hAnsi="Book Antiqua"/>
                <w:b/>
                <w:bCs/>
                <w:sz w:val="24"/>
                <w:szCs w:val="24"/>
                <w:lang w:val="sv-SE"/>
              </w:rPr>
            </w:pPr>
            <w:r w:rsidRPr="009E5DBF">
              <w:rPr>
                <w:rFonts w:ascii="Book Antiqua" w:hAnsi="Book Antiqua"/>
                <w:b/>
                <w:bCs/>
                <w:sz w:val="24"/>
                <w:szCs w:val="24"/>
                <w:lang w:val="sv-SE"/>
              </w:rPr>
              <w:t>Penilaian Kualitatif Konteks Organisasi untuk Implementasi</w:t>
            </w:r>
          </w:p>
        </w:tc>
        <w:tc>
          <w:tcPr>
            <w:tcW w:w="2835" w:type="dxa"/>
            <w:vAlign w:val="center"/>
          </w:tcPr>
          <w:p w14:paraId="7C08E94C" w14:textId="77777777" w:rsidR="009E5DBF" w:rsidRPr="009E5DBF" w:rsidRDefault="009E5DBF" w:rsidP="00230594">
            <w:pPr>
              <w:jc w:val="center"/>
              <w:rPr>
                <w:rFonts w:ascii="Book Antiqua" w:hAnsi="Book Antiqua"/>
                <w:b/>
                <w:bCs/>
                <w:sz w:val="24"/>
                <w:szCs w:val="24"/>
              </w:rPr>
            </w:pPr>
            <w:proofErr w:type="spellStart"/>
            <w:r w:rsidRPr="009E5DBF">
              <w:rPr>
                <w:rFonts w:ascii="Book Antiqua" w:hAnsi="Book Antiqua"/>
                <w:b/>
                <w:bCs/>
                <w:sz w:val="24"/>
                <w:szCs w:val="24"/>
              </w:rPr>
              <w:t>Atribut</w:t>
            </w:r>
            <w:proofErr w:type="spellEnd"/>
            <w:r w:rsidRPr="009E5DBF">
              <w:rPr>
                <w:rFonts w:ascii="Book Antiqua" w:hAnsi="Book Antiqua"/>
                <w:b/>
                <w:bCs/>
                <w:sz w:val="24"/>
                <w:szCs w:val="24"/>
              </w:rPr>
              <w:t xml:space="preserve"> Champion</w:t>
            </w:r>
          </w:p>
        </w:tc>
      </w:tr>
      <w:tr w:rsidR="009E5DBF" w:rsidRPr="009E5DBF" w14:paraId="32A6A5CF" w14:textId="77777777" w:rsidTr="008B61C2">
        <w:trPr>
          <w:trHeight w:val="308"/>
        </w:trPr>
        <w:tc>
          <w:tcPr>
            <w:tcW w:w="1668" w:type="dxa"/>
            <w:vAlign w:val="center"/>
          </w:tcPr>
          <w:p w14:paraId="5C7F2A9C" w14:textId="77777777" w:rsidR="009E5DBF" w:rsidRPr="009E5DBF" w:rsidRDefault="009E5DBF" w:rsidP="00230594">
            <w:pPr>
              <w:jc w:val="center"/>
              <w:rPr>
                <w:rFonts w:ascii="Book Antiqua" w:hAnsi="Book Antiqua"/>
                <w:b/>
                <w:bCs/>
                <w:sz w:val="24"/>
                <w:szCs w:val="24"/>
              </w:rPr>
            </w:pPr>
          </w:p>
        </w:tc>
        <w:tc>
          <w:tcPr>
            <w:tcW w:w="1842" w:type="dxa"/>
            <w:vAlign w:val="center"/>
          </w:tcPr>
          <w:p w14:paraId="15927DDD" w14:textId="77777777" w:rsidR="009E5DBF" w:rsidRPr="009E5DBF" w:rsidRDefault="009E5DBF" w:rsidP="009E5DBF">
            <w:pPr>
              <w:rPr>
                <w:rFonts w:ascii="Book Antiqua" w:hAnsi="Book Antiqua"/>
                <w:sz w:val="24"/>
                <w:szCs w:val="24"/>
              </w:rPr>
            </w:pPr>
            <w:proofErr w:type="spellStart"/>
            <w:r w:rsidRPr="009E5DBF">
              <w:rPr>
                <w:rFonts w:ascii="Book Antiqua" w:hAnsi="Book Antiqua"/>
                <w:sz w:val="24"/>
                <w:szCs w:val="24"/>
              </w:rPr>
              <w:t>Implementasi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layanan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kontrasepsi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pascapersalinan</w:t>
            </w:r>
            <w:proofErr w:type="spellEnd"/>
            <w:r w:rsidRPr="009E5DBF">
              <w:rPr>
                <w:rFonts w:ascii="Book Antiqua" w:hAnsi="Book Antiqua"/>
                <w:sz w:val="24"/>
                <w:szCs w:val="24"/>
              </w:rPr>
              <w:t>:</w:t>
            </w:r>
          </w:p>
        </w:tc>
        <w:tc>
          <w:tcPr>
            <w:tcW w:w="2581" w:type="dxa"/>
            <w:vAlign w:val="center"/>
          </w:tcPr>
          <w:p w14:paraId="2FF33CEF"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 xml:space="preserve">Konteks Eksternal: Mengacu pada kebijakan pembayaran dan insentif dari pihak </w:t>
            </w:r>
            <w:r w:rsidRPr="009E5DBF">
              <w:rPr>
                <w:rFonts w:ascii="Book Antiqua" w:hAnsi="Book Antiqua"/>
                <w:sz w:val="24"/>
                <w:szCs w:val="24"/>
                <w:lang w:val="sv-SE"/>
              </w:rPr>
              <w:lastRenderedPageBreak/>
              <w:t>pembayar</w:t>
            </w:r>
          </w:p>
        </w:tc>
        <w:tc>
          <w:tcPr>
            <w:tcW w:w="2835" w:type="dxa"/>
            <w:vAlign w:val="center"/>
          </w:tcPr>
          <w:p w14:paraId="217578C3"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lastRenderedPageBreak/>
              <w:t>Pengaruh: Kemampuan untuk membentuk pendapat dan perilaku orang lain</w:t>
            </w:r>
          </w:p>
        </w:tc>
      </w:tr>
      <w:tr w:rsidR="009E5DBF" w:rsidRPr="009E5DBF" w14:paraId="754CC32B" w14:textId="77777777" w:rsidTr="008B61C2">
        <w:trPr>
          <w:trHeight w:val="292"/>
        </w:trPr>
        <w:tc>
          <w:tcPr>
            <w:tcW w:w="1668" w:type="dxa"/>
            <w:vAlign w:val="center"/>
          </w:tcPr>
          <w:p w14:paraId="3E33CF4A" w14:textId="77777777" w:rsidR="009E5DBF" w:rsidRPr="009E5DBF" w:rsidRDefault="009E5DBF" w:rsidP="00230594">
            <w:pPr>
              <w:rPr>
                <w:rFonts w:ascii="Book Antiqua" w:hAnsi="Book Antiqua"/>
                <w:sz w:val="24"/>
                <w:szCs w:val="24"/>
                <w:lang w:val="sv-SE"/>
              </w:rPr>
            </w:pPr>
          </w:p>
        </w:tc>
        <w:tc>
          <w:tcPr>
            <w:tcW w:w="1842" w:type="dxa"/>
            <w:vAlign w:val="center"/>
          </w:tcPr>
          <w:p w14:paraId="64A42299"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Layanan diimplementasikan dan tersedia secara rutin</w:t>
            </w:r>
          </w:p>
        </w:tc>
        <w:tc>
          <w:tcPr>
            <w:tcW w:w="2581" w:type="dxa"/>
            <w:vAlign w:val="center"/>
          </w:tcPr>
          <w:p w14:paraId="07D023D3"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Konteks Internal: Mengacu pada kompleksitas institusi, kekuatan jaringan dan komunikasi, serta sikap pemangku kepentingan terhadap inovasi</w:t>
            </w:r>
          </w:p>
        </w:tc>
        <w:tc>
          <w:tcPr>
            <w:tcW w:w="2835" w:type="dxa"/>
            <w:vAlign w:val="center"/>
          </w:tcPr>
          <w:p w14:paraId="56FAF9C4"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Kepemilikan: Perasaan memiliki tanggung jawab pribadi yang mendalam terhadap upaya perubahan</w:t>
            </w:r>
          </w:p>
        </w:tc>
      </w:tr>
      <w:tr w:rsidR="009E5DBF" w:rsidRPr="009E5DBF" w14:paraId="1C48DCCF" w14:textId="77777777" w:rsidTr="008B61C2">
        <w:trPr>
          <w:trHeight w:val="292"/>
        </w:trPr>
        <w:tc>
          <w:tcPr>
            <w:tcW w:w="1668" w:type="dxa"/>
            <w:vAlign w:val="center"/>
          </w:tcPr>
          <w:p w14:paraId="1CE84933" w14:textId="77777777" w:rsidR="009E5DBF" w:rsidRPr="009E5DBF" w:rsidRDefault="009E5DBF" w:rsidP="00230594">
            <w:pPr>
              <w:rPr>
                <w:rFonts w:ascii="Book Antiqua" w:hAnsi="Book Antiqua"/>
                <w:sz w:val="24"/>
                <w:szCs w:val="24"/>
                <w:lang w:val="sv-SE"/>
              </w:rPr>
            </w:pPr>
          </w:p>
        </w:tc>
        <w:tc>
          <w:tcPr>
            <w:tcW w:w="1842" w:type="dxa"/>
            <w:vAlign w:val="center"/>
          </w:tcPr>
          <w:p w14:paraId="164CF7AE"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Layanan diimplementasikan dan kemudian tidak dirutinkan</w:t>
            </w:r>
          </w:p>
        </w:tc>
        <w:tc>
          <w:tcPr>
            <w:tcW w:w="2581" w:type="dxa"/>
            <w:vAlign w:val="center"/>
          </w:tcPr>
          <w:p w14:paraId="21C692FF"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Karakteristik Individu: Mengacu pada sikap individu terhadap inovasi</w:t>
            </w:r>
          </w:p>
        </w:tc>
        <w:tc>
          <w:tcPr>
            <w:tcW w:w="2835" w:type="dxa"/>
            <w:vAlign w:val="center"/>
          </w:tcPr>
          <w:p w14:paraId="5A0210BC"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Kehadiran di titik perubahan: Memiliki pengetahuan yang mendalam tentang orang dan alur kerja yang dipengaruhi oleh upaya perubahan</w:t>
            </w:r>
          </w:p>
        </w:tc>
      </w:tr>
      <w:tr w:rsidR="009E5DBF" w:rsidRPr="009E5DBF" w14:paraId="24632A15" w14:textId="77777777" w:rsidTr="008B61C2">
        <w:tc>
          <w:tcPr>
            <w:tcW w:w="1668" w:type="dxa"/>
            <w:hideMark/>
          </w:tcPr>
          <w:p w14:paraId="324BA2E1" w14:textId="77777777" w:rsidR="009E5DBF" w:rsidRPr="009E5DBF" w:rsidRDefault="009E5DBF" w:rsidP="00230594">
            <w:pPr>
              <w:rPr>
                <w:rFonts w:ascii="Book Antiqua" w:hAnsi="Book Antiqua"/>
                <w:sz w:val="24"/>
                <w:szCs w:val="24"/>
                <w:lang w:val="sv-SE"/>
              </w:rPr>
            </w:pPr>
          </w:p>
        </w:tc>
        <w:tc>
          <w:tcPr>
            <w:tcW w:w="1842" w:type="dxa"/>
            <w:hideMark/>
          </w:tcPr>
          <w:p w14:paraId="1AB455A0" w14:textId="77777777" w:rsidR="009E5DBF" w:rsidRPr="009E5DBF" w:rsidRDefault="009E5DBF" w:rsidP="009E5DBF">
            <w:pPr>
              <w:jc w:val="both"/>
              <w:rPr>
                <w:rFonts w:ascii="Book Antiqua" w:hAnsi="Book Antiqua"/>
                <w:sz w:val="24"/>
                <w:szCs w:val="24"/>
              </w:rPr>
            </w:pPr>
            <w:proofErr w:type="spellStart"/>
            <w:r w:rsidRPr="009E5DBF">
              <w:rPr>
                <w:rFonts w:ascii="Book Antiqua" w:hAnsi="Book Antiqua"/>
                <w:sz w:val="24"/>
                <w:szCs w:val="24"/>
              </w:rPr>
              <w:t>Layanan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tidak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dibuat</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rutin</w:t>
            </w:r>
            <w:proofErr w:type="spellEnd"/>
          </w:p>
        </w:tc>
        <w:tc>
          <w:tcPr>
            <w:tcW w:w="2581" w:type="dxa"/>
            <w:hideMark/>
          </w:tcPr>
          <w:p w14:paraId="1345A455" w14:textId="77777777" w:rsidR="009E5DBF" w:rsidRPr="009E5DBF" w:rsidRDefault="009E5DBF" w:rsidP="009E5DBF">
            <w:pPr>
              <w:jc w:val="both"/>
              <w:rPr>
                <w:rFonts w:ascii="Book Antiqua" w:hAnsi="Book Antiqua"/>
                <w:sz w:val="24"/>
                <w:szCs w:val="24"/>
              </w:rPr>
            </w:pPr>
          </w:p>
        </w:tc>
        <w:tc>
          <w:tcPr>
            <w:tcW w:w="2835" w:type="dxa"/>
            <w:hideMark/>
          </w:tcPr>
          <w:p w14:paraId="71BE161C"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Kegigihan: Ketabahan dalam menghadapi kemunduran</w:t>
            </w:r>
          </w:p>
        </w:tc>
      </w:tr>
      <w:tr w:rsidR="009E5DBF" w:rsidRPr="009E5DBF" w14:paraId="6B0C00FA" w14:textId="77777777" w:rsidTr="008B61C2">
        <w:tc>
          <w:tcPr>
            <w:tcW w:w="1668" w:type="dxa"/>
            <w:hideMark/>
          </w:tcPr>
          <w:p w14:paraId="0B522F7D" w14:textId="77777777" w:rsidR="009E5DBF" w:rsidRPr="009E5DBF" w:rsidRDefault="009E5DBF" w:rsidP="00230594">
            <w:pPr>
              <w:rPr>
                <w:rFonts w:ascii="Book Antiqua" w:hAnsi="Book Antiqua"/>
                <w:sz w:val="24"/>
                <w:szCs w:val="24"/>
                <w:lang w:val="sv-SE"/>
              </w:rPr>
            </w:pPr>
          </w:p>
        </w:tc>
        <w:tc>
          <w:tcPr>
            <w:tcW w:w="1842" w:type="dxa"/>
            <w:hideMark/>
          </w:tcPr>
          <w:p w14:paraId="6AF4894D" w14:textId="77777777" w:rsidR="009E5DBF" w:rsidRPr="009E5DBF" w:rsidRDefault="009E5DBF" w:rsidP="009E5DBF">
            <w:pPr>
              <w:jc w:val="both"/>
              <w:rPr>
                <w:rFonts w:ascii="Book Antiqua" w:hAnsi="Book Antiqua"/>
                <w:sz w:val="24"/>
                <w:szCs w:val="24"/>
                <w:lang w:val="sv-SE"/>
              </w:rPr>
            </w:pPr>
          </w:p>
        </w:tc>
        <w:tc>
          <w:tcPr>
            <w:tcW w:w="2581" w:type="dxa"/>
            <w:hideMark/>
          </w:tcPr>
          <w:p w14:paraId="42444655" w14:textId="77777777" w:rsidR="009E5DBF" w:rsidRPr="009E5DBF" w:rsidRDefault="009E5DBF" w:rsidP="009E5DBF">
            <w:pPr>
              <w:jc w:val="both"/>
              <w:rPr>
                <w:rFonts w:ascii="Book Antiqua" w:hAnsi="Book Antiqua"/>
                <w:sz w:val="24"/>
                <w:szCs w:val="24"/>
                <w:lang w:val="sv-SE"/>
              </w:rPr>
            </w:pPr>
          </w:p>
        </w:tc>
        <w:tc>
          <w:tcPr>
            <w:tcW w:w="2835" w:type="dxa"/>
            <w:hideMark/>
          </w:tcPr>
          <w:p w14:paraId="504B125B"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Kepemimpinan empatik: Kemampuan untuk memahami dan memvalidasi perspektif orang lain</w:t>
            </w:r>
          </w:p>
        </w:tc>
      </w:tr>
      <w:tr w:rsidR="009E5DBF" w:rsidRPr="009E5DBF" w14:paraId="0EA0EA88" w14:textId="77777777" w:rsidTr="008B61C2">
        <w:trPr>
          <w:trHeight w:val="308"/>
        </w:trPr>
        <w:tc>
          <w:tcPr>
            <w:tcW w:w="1668" w:type="dxa"/>
            <w:vAlign w:val="center"/>
          </w:tcPr>
          <w:p w14:paraId="468E6171" w14:textId="77777777" w:rsidR="009E5DBF" w:rsidRPr="009E5DBF" w:rsidRDefault="009E5DBF" w:rsidP="00230594">
            <w:pPr>
              <w:rPr>
                <w:rFonts w:ascii="Book Antiqua" w:hAnsi="Book Antiqua"/>
                <w:sz w:val="24"/>
                <w:szCs w:val="24"/>
              </w:rPr>
            </w:pPr>
            <w:proofErr w:type="spellStart"/>
            <w:r w:rsidRPr="009E5DBF">
              <w:rPr>
                <w:rFonts w:ascii="Book Antiqua" w:hAnsi="Book Antiqua"/>
                <w:b/>
                <w:bCs/>
                <w:sz w:val="24"/>
                <w:szCs w:val="24"/>
              </w:rPr>
              <w:t>Identifikasi</w:t>
            </w:r>
            <w:proofErr w:type="spellEnd"/>
            <w:r w:rsidRPr="009E5DBF">
              <w:rPr>
                <w:rFonts w:ascii="Book Antiqua" w:hAnsi="Book Antiqua"/>
                <w:b/>
                <w:bCs/>
                <w:sz w:val="24"/>
                <w:szCs w:val="24"/>
              </w:rPr>
              <w:t xml:space="preserve"> Lokasi</w:t>
            </w:r>
          </w:p>
        </w:tc>
        <w:tc>
          <w:tcPr>
            <w:tcW w:w="1842" w:type="dxa"/>
            <w:vAlign w:val="center"/>
          </w:tcPr>
          <w:p w14:paraId="5F3D182C" w14:textId="77777777" w:rsidR="009E5DBF" w:rsidRPr="009E5DBF" w:rsidRDefault="009E5DBF" w:rsidP="00230594">
            <w:pPr>
              <w:rPr>
                <w:rFonts w:ascii="Book Antiqua" w:hAnsi="Book Antiqua"/>
                <w:sz w:val="24"/>
                <w:szCs w:val="24"/>
              </w:rPr>
            </w:pPr>
            <w:r w:rsidRPr="009E5DBF">
              <w:rPr>
                <w:rFonts w:ascii="Book Antiqua" w:hAnsi="Book Antiqua"/>
                <w:b/>
                <w:bCs/>
                <w:sz w:val="24"/>
                <w:szCs w:val="24"/>
              </w:rPr>
              <w:t>1</w:t>
            </w:r>
          </w:p>
        </w:tc>
        <w:tc>
          <w:tcPr>
            <w:tcW w:w="2581" w:type="dxa"/>
            <w:vAlign w:val="center"/>
          </w:tcPr>
          <w:p w14:paraId="45D52DF2" w14:textId="77777777" w:rsidR="009E5DBF" w:rsidRPr="009E5DBF" w:rsidRDefault="009E5DBF" w:rsidP="00230594">
            <w:pPr>
              <w:rPr>
                <w:rFonts w:ascii="Book Antiqua" w:hAnsi="Book Antiqua"/>
                <w:sz w:val="24"/>
                <w:szCs w:val="24"/>
              </w:rPr>
            </w:pPr>
            <w:r w:rsidRPr="009E5DBF">
              <w:rPr>
                <w:rFonts w:ascii="Book Antiqua" w:hAnsi="Book Antiqua"/>
                <w:b/>
                <w:bCs/>
                <w:sz w:val="24"/>
                <w:szCs w:val="24"/>
              </w:rPr>
              <w:t>2</w:t>
            </w:r>
          </w:p>
        </w:tc>
        <w:tc>
          <w:tcPr>
            <w:tcW w:w="2835" w:type="dxa"/>
            <w:vAlign w:val="center"/>
          </w:tcPr>
          <w:p w14:paraId="1E506E37" w14:textId="77777777" w:rsidR="009E5DBF" w:rsidRPr="009E5DBF" w:rsidRDefault="009E5DBF" w:rsidP="00230594">
            <w:pPr>
              <w:rPr>
                <w:rFonts w:ascii="Book Antiqua" w:hAnsi="Book Antiqua"/>
                <w:sz w:val="24"/>
                <w:szCs w:val="24"/>
              </w:rPr>
            </w:pPr>
            <w:r w:rsidRPr="009E5DBF">
              <w:rPr>
                <w:rFonts w:ascii="Book Antiqua" w:hAnsi="Book Antiqua"/>
                <w:b/>
                <w:bCs/>
                <w:sz w:val="24"/>
                <w:szCs w:val="24"/>
              </w:rPr>
              <w:t>3</w:t>
            </w:r>
          </w:p>
        </w:tc>
      </w:tr>
      <w:tr w:rsidR="009E5DBF" w:rsidRPr="009E5DBF" w14:paraId="3132DF7D" w14:textId="77777777" w:rsidTr="008B61C2">
        <w:trPr>
          <w:trHeight w:val="292"/>
        </w:trPr>
        <w:tc>
          <w:tcPr>
            <w:tcW w:w="1668" w:type="dxa"/>
            <w:vAlign w:val="center"/>
          </w:tcPr>
          <w:p w14:paraId="4E521FDF" w14:textId="77777777" w:rsidR="009E5DBF" w:rsidRPr="009E5DBF" w:rsidRDefault="009E5DBF" w:rsidP="00230594">
            <w:pPr>
              <w:rPr>
                <w:rFonts w:ascii="Book Antiqua" w:hAnsi="Book Antiqua"/>
                <w:sz w:val="24"/>
                <w:szCs w:val="24"/>
              </w:rPr>
            </w:pPr>
            <w:r w:rsidRPr="009E5DBF">
              <w:rPr>
                <w:rFonts w:ascii="Book Antiqua" w:hAnsi="Book Antiqua"/>
                <w:b/>
                <w:bCs/>
                <w:sz w:val="24"/>
                <w:szCs w:val="24"/>
              </w:rPr>
              <w:t xml:space="preserve">Hasil </w:t>
            </w:r>
            <w:proofErr w:type="spellStart"/>
            <w:r w:rsidRPr="009E5DBF">
              <w:rPr>
                <w:rFonts w:ascii="Book Antiqua" w:hAnsi="Book Antiqua"/>
                <w:b/>
                <w:bCs/>
                <w:sz w:val="24"/>
                <w:szCs w:val="24"/>
              </w:rPr>
              <w:t>Implementasi</w:t>
            </w:r>
            <w:proofErr w:type="spellEnd"/>
          </w:p>
        </w:tc>
        <w:tc>
          <w:tcPr>
            <w:tcW w:w="1842" w:type="dxa"/>
            <w:vAlign w:val="center"/>
          </w:tcPr>
          <w:p w14:paraId="3F9D9E41"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581" w:type="dxa"/>
            <w:vAlign w:val="center"/>
          </w:tcPr>
          <w:p w14:paraId="1CCD0134"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835" w:type="dxa"/>
            <w:vAlign w:val="center"/>
          </w:tcPr>
          <w:p w14:paraId="7FB3D658"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r>
      <w:tr w:rsidR="009E5DBF" w:rsidRPr="009E5DBF" w14:paraId="76A86171" w14:textId="77777777" w:rsidTr="008B61C2">
        <w:trPr>
          <w:trHeight w:val="292"/>
        </w:trPr>
        <w:tc>
          <w:tcPr>
            <w:tcW w:w="1668" w:type="dxa"/>
            <w:vAlign w:val="center"/>
          </w:tcPr>
          <w:p w14:paraId="07B47915" w14:textId="77777777" w:rsidR="009E5DBF" w:rsidRPr="009E5DBF" w:rsidRDefault="009E5DBF" w:rsidP="00230594">
            <w:pPr>
              <w:rPr>
                <w:rFonts w:ascii="Book Antiqua" w:hAnsi="Book Antiqua"/>
                <w:sz w:val="24"/>
                <w:szCs w:val="24"/>
              </w:rPr>
            </w:pPr>
            <w:proofErr w:type="spellStart"/>
            <w:r w:rsidRPr="009E5DBF">
              <w:rPr>
                <w:rFonts w:ascii="Book Antiqua" w:hAnsi="Book Antiqua"/>
                <w:b/>
                <w:bCs/>
                <w:sz w:val="24"/>
                <w:szCs w:val="24"/>
              </w:rPr>
              <w:t>Penilaian</w:t>
            </w:r>
            <w:proofErr w:type="spellEnd"/>
            <w:r w:rsidRPr="009E5DBF">
              <w:rPr>
                <w:rFonts w:ascii="Book Antiqua" w:hAnsi="Book Antiqua"/>
                <w:b/>
                <w:bCs/>
                <w:sz w:val="24"/>
                <w:szCs w:val="24"/>
              </w:rPr>
              <w:t xml:space="preserve"> </w:t>
            </w:r>
            <w:proofErr w:type="spellStart"/>
            <w:r w:rsidRPr="009E5DBF">
              <w:rPr>
                <w:rFonts w:ascii="Book Antiqua" w:hAnsi="Book Antiqua"/>
                <w:b/>
                <w:bCs/>
                <w:sz w:val="24"/>
                <w:szCs w:val="24"/>
              </w:rPr>
              <w:t>Kontekstual</w:t>
            </w:r>
            <w:proofErr w:type="spellEnd"/>
          </w:p>
        </w:tc>
        <w:tc>
          <w:tcPr>
            <w:tcW w:w="1842" w:type="dxa"/>
            <w:vAlign w:val="center"/>
          </w:tcPr>
          <w:p w14:paraId="3195D6B9" w14:textId="77777777" w:rsidR="009E5DBF" w:rsidRPr="009E5DBF" w:rsidRDefault="009E5DBF" w:rsidP="00230594">
            <w:pPr>
              <w:rPr>
                <w:rFonts w:ascii="Book Antiqua" w:hAnsi="Book Antiqua"/>
                <w:sz w:val="24"/>
                <w:szCs w:val="24"/>
              </w:rPr>
            </w:pPr>
          </w:p>
        </w:tc>
        <w:tc>
          <w:tcPr>
            <w:tcW w:w="2581" w:type="dxa"/>
            <w:vAlign w:val="center"/>
          </w:tcPr>
          <w:p w14:paraId="5C5B449B" w14:textId="77777777" w:rsidR="009E5DBF" w:rsidRPr="009E5DBF" w:rsidRDefault="009E5DBF" w:rsidP="00230594">
            <w:pPr>
              <w:rPr>
                <w:rFonts w:ascii="Book Antiqua" w:hAnsi="Book Antiqua"/>
                <w:sz w:val="24"/>
                <w:szCs w:val="24"/>
              </w:rPr>
            </w:pPr>
          </w:p>
        </w:tc>
        <w:tc>
          <w:tcPr>
            <w:tcW w:w="2835" w:type="dxa"/>
            <w:vAlign w:val="center"/>
          </w:tcPr>
          <w:p w14:paraId="3463E080" w14:textId="77777777" w:rsidR="009E5DBF" w:rsidRPr="009E5DBF" w:rsidRDefault="009E5DBF" w:rsidP="00230594">
            <w:pPr>
              <w:rPr>
                <w:rFonts w:ascii="Book Antiqua" w:hAnsi="Book Antiqua"/>
                <w:sz w:val="24"/>
                <w:szCs w:val="24"/>
              </w:rPr>
            </w:pPr>
          </w:p>
        </w:tc>
      </w:tr>
      <w:tr w:rsidR="009E5DBF" w:rsidRPr="009E5DBF" w14:paraId="61466627" w14:textId="77777777" w:rsidTr="008B61C2">
        <w:trPr>
          <w:trHeight w:val="292"/>
        </w:trPr>
        <w:tc>
          <w:tcPr>
            <w:tcW w:w="1668" w:type="dxa"/>
            <w:vAlign w:val="center"/>
          </w:tcPr>
          <w:p w14:paraId="34AF2F2D"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Konteks</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Eksternal</w:t>
            </w:r>
            <w:proofErr w:type="spellEnd"/>
          </w:p>
        </w:tc>
        <w:tc>
          <w:tcPr>
            <w:tcW w:w="1842" w:type="dxa"/>
            <w:vAlign w:val="center"/>
          </w:tcPr>
          <w:p w14:paraId="3FB1A63E"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581" w:type="dxa"/>
            <w:vAlign w:val="center"/>
          </w:tcPr>
          <w:p w14:paraId="1D436AA6"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835" w:type="dxa"/>
            <w:vAlign w:val="center"/>
          </w:tcPr>
          <w:p w14:paraId="3E5F18C7"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r>
      <w:tr w:rsidR="009E5DBF" w:rsidRPr="009E5DBF" w14:paraId="70F4AEF4" w14:textId="77777777" w:rsidTr="008B61C2">
        <w:trPr>
          <w:trHeight w:val="292"/>
        </w:trPr>
        <w:tc>
          <w:tcPr>
            <w:tcW w:w="1668" w:type="dxa"/>
            <w:vAlign w:val="center"/>
          </w:tcPr>
          <w:p w14:paraId="64C9DA88"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Konteks</w:t>
            </w:r>
            <w:proofErr w:type="spellEnd"/>
            <w:r w:rsidRPr="009E5DBF">
              <w:rPr>
                <w:rFonts w:ascii="Book Antiqua" w:hAnsi="Book Antiqua"/>
                <w:sz w:val="24"/>
                <w:szCs w:val="24"/>
              </w:rPr>
              <w:t xml:space="preserve"> Internal</w:t>
            </w:r>
          </w:p>
        </w:tc>
        <w:tc>
          <w:tcPr>
            <w:tcW w:w="1842" w:type="dxa"/>
            <w:vAlign w:val="center"/>
          </w:tcPr>
          <w:p w14:paraId="2ED1709E"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581" w:type="dxa"/>
            <w:vAlign w:val="center"/>
          </w:tcPr>
          <w:p w14:paraId="33DA35BD"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835" w:type="dxa"/>
            <w:vAlign w:val="center"/>
          </w:tcPr>
          <w:p w14:paraId="554C736B"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r>
      <w:tr w:rsidR="009E5DBF" w:rsidRPr="009E5DBF" w14:paraId="66724FC8" w14:textId="77777777" w:rsidTr="008B61C2">
        <w:trPr>
          <w:trHeight w:val="292"/>
        </w:trPr>
        <w:tc>
          <w:tcPr>
            <w:tcW w:w="1668" w:type="dxa"/>
            <w:vAlign w:val="center"/>
          </w:tcPr>
          <w:p w14:paraId="75E8B3BC"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Karakteristik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Individu</w:t>
            </w:r>
            <w:proofErr w:type="spellEnd"/>
          </w:p>
        </w:tc>
        <w:tc>
          <w:tcPr>
            <w:tcW w:w="1842" w:type="dxa"/>
            <w:vAlign w:val="center"/>
          </w:tcPr>
          <w:p w14:paraId="7B441F1E"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581" w:type="dxa"/>
            <w:vAlign w:val="center"/>
          </w:tcPr>
          <w:p w14:paraId="7F6AAA6B"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c>
          <w:tcPr>
            <w:tcW w:w="2835" w:type="dxa"/>
            <w:vAlign w:val="center"/>
          </w:tcPr>
          <w:p w14:paraId="3A18DA0F" w14:textId="77777777" w:rsidR="009E5DBF" w:rsidRPr="009E5DBF" w:rsidRDefault="009E5DBF" w:rsidP="00230594">
            <w:pPr>
              <w:rPr>
                <w:rFonts w:ascii="Book Antiqua" w:hAnsi="Book Antiqua"/>
                <w:sz w:val="24"/>
                <w:szCs w:val="24"/>
              </w:rPr>
            </w:pPr>
            <w:r w:rsidRPr="009E5DBF">
              <w:rPr>
                <w:rFonts w:ascii="Book Antiqua" w:hAnsi="Book Antiqua"/>
                <w:sz w:val="24"/>
                <w:szCs w:val="24"/>
              </w:rPr>
              <w:t>○</w:t>
            </w:r>
          </w:p>
        </w:tc>
      </w:tr>
      <w:tr w:rsidR="009E5DBF" w:rsidRPr="009E5DBF" w14:paraId="12B9AEFA" w14:textId="77777777" w:rsidTr="008B61C2">
        <w:trPr>
          <w:trHeight w:val="292"/>
        </w:trPr>
        <w:tc>
          <w:tcPr>
            <w:tcW w:w="1668" w:type="dxa"/>
            <w:vAlign w:val="center"/>
          </w:tcPr>
          <w:p w14:paraId="4A6B9FCB" w14:textId="77777777" w:rsidR="009E5DBF" w:rsidRPr="009E5DBF" w:rsidRDefault="009E5DBF" w:rsidP="00230594">
            <w:pPr>
              <w:rPr>
                <w:rFonts w:ascii="Book Antiqua" w:hAnsi="Book Antiqua"/>
                <w:sz w:val="24"/>
                <w:szCs w:val="24"/>
              </w:rPr>
            </w:pPr>
            <w:proofErr w:type="spellStart"/>
            <w:r w:rsidRPr="009E5DBF">
              <w:rPr>
                <w:rFonts w:ascii="Book Antiqua" w:hAnsi="Book Antiqua"/>
                <w:b/>
                <w:bCs/>
                <w:sz w:val="24"/>
                <w:szCs w:val="24"/>
              </w:rPr>
              <w:t>Atribut</w:t>
            </w:r>
            <w:proofErr w:type="spellEnd"/>
            <w:r w:rsidRPr="009E5DBF">
              <w:rPr>
                <w:rFonts w:ascii="Book Antiqua" w:hAnsi="Book Antiqua"/>
                <w:b/>
                <w:bCs/>
                <w:sz w:val="24"/>
                <w:szCs w:val="24"/>
              </w:rPr>
              <w:t xml:space="preserve"> Champion</w:t>
            </w:r>
          </w:p>
        </w:tc>
        <w:tc>
          <w:tcPr>
            <w:tcW w:w="1842" w:type="dxa"/>
            <w:vAlign w:val="center"/>
          </w:tcPr>
          <w:p w14:paraId="1DDE1D6B" w14:textId="77777777" w:rsidR="009E5DBF" w:rsidRPr="009E5DBF" w:rsidRDefault="009E5DBF" w:rsidP="00230594">
            <w:pPr>
              <w:rPr>
                <w:rFonts w:ascii="Book Antiqua" w:hAnsi="Book Antiqua"/>
                <w:sz w:val="24"/>
                <w:szCs w:val="24"/>
              </w:rPr>
            </w:pPr>
          </w:p>
        </w:tc>
        <w:tc>
          <w:tcPr>
            <w:tcW w:w="2581" w:type="dxa"/>
            <w:vAlign w:val="center"/>
          </w:tcPr>
          <w:p w14:paraId="6D1B5036" w14:textId="77777777" w:rsidR="009E5DBF" w:rsidRPr="009E5DBF" w:rsidRDefault="009E5DBF" w:rsidP="00230594">
            <w:pPr>
              <w:rPr>
                <w:rFonts w:ascii="Book Antiqua" w:hAnsi="Book Antiqua"/>
                <w:sz w:val="24"/>
                <w:szCs w:val="24"/>
              </w:rPr>
            </w:pPr>
          </w:p>
        </w:tc>
        <w:tc>
          <w:tcPr>
            <w:tcW w:w="2835" w:type="dxa"/>
            <w:vAlign w:val="center"/>
          </w:tcPr>
          <w:p w14:paraId="4BE10640" w14:textId="77777777" w:rsidR="009E5DBF" w:rsidRPr="009E5DBF" w:rsidRDefault="009E5DBF" w:rsidP="00230594">
            <w:pPr>
              <w:rPr>
                <w:rFonts w:ascii="Book Antiqua" w:hAnsi="Book Antiqua"/>
                <w:sz w:val="24"/>
                <w:szCs w:val="24"/>
              </w:rPr>
            </w:pPr>
          </w:p>
        </w:tc>
      </w:tr>
      <w:tr w:rsidR="009E5DBF" w:rsidRPr="009E5DBF" w14:paraId="5FA0F35A" w14:textId="77777777" w:rsidTr="008B61C2">
        <w:trPr>
          <w:trHeight w:val="292"/>
        </w:trPr>
        <w:tc>
          <w:tcPr>
            <w:tcW w:w="1668" w:type="dxa"/>
            <w:vAlign w:val="center"/>
          </w:tcPr>
          <w:p w14:paraId="787A6B9B"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Pengaruh</w:t>
            </w:r>
            <w:proofErr w:type="spellEnd"/>
          </w:p>
        </w:tc>
        <w:tc>
          <w:tcPr>
            <w:tcW w:w="1842" w:type="dxa"/>
            <w:vAlign w:val="center"/>
          </w:tcPr>
          <w:p w14:paraId="0B7F21C2"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581" w:type="dxa"/>
            <w:vAlign w:val="center"/>
          </w:tcPr>
          <w:p w14:paraId="273EBA1D"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835" w:type="dxa"/>
            <w:vAlign w:val="center"/>
          </w:tcPr>
          <w:p w14:paraId="2C76AB93"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r>
      <w:tr w:rsidR="009E5DBF" w:rsidRPr="009E5DBF" w14:paraId="6505C27E" w14:textId="77777777" w:rsidTr="008B61C2">
        <w:trPr>
          <w:trHeight w:val="292"/>
        </w:trPr>
        <w:tc>
          <w:tcPr>
            <w:tcW w:w="1668" w:type="dxa"/>
            <w:vAlign w:val="center"/>
          </w:tcPr>
          <w:p w14:paraId="3CA4B271"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Kepemilikan</w:t>
            </w:r>
            <w:proofErr w:type="spellEnd"/>
          </w:p>
        </w:tc>
        <w:tc>
          <w:tcPr>
            <w:tcW w:w="1842" w:type="dxa"/>
            <w:vAlign w:val="center"/>
          </w:tcPr>
          <w:p w14:paraId="155E5E5D"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581" w:type="dxa"/>
            <w:vAlign w:val="center"/>
          </w:tcPr>
          <w:p w14:paraId="6056C9EF"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835" w:type="dxa"/>
            <w:vAlign w:val="center"/>
          </w:tcPr>
          <w:p w14:paraId="7C8DBFD8"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r>
      <w:tr w:rsidR="009E5DBF" w:rsidRPr="009E5DBF" w14:paraId="093A5116" w14:textId="77777777" w:rsidTr="008B61C2">
        <w:trPr>
          <w:trHeight w:val="292"/>
        </w:trPr>
        <w:tc>
          <w:tcPr>
            <w:tcW w:w="1668" w:type="dxa"/>
            <w:vAlign w:val="center"/>
          </w:tcPr>
          <w:p w14:paraId="290353BC"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Kehadiran</w:t>
            </w:r>
            <w:proofErr w:type="spellEnd"/>
            <w:r w:rsidRPr="009E5DBF">
              <w:rPr>
                <w:rFonts w:ascii="Book Antiqua" w:hAnsi="Book Antiqua"/>
                <w:sz w:val="24"/>
                <w:szCs w:val="24"/>
              </w:rPr>
              <w:t xml:space="preserve"> di </w:t>
            </w:r>
            <w:proofErr w:type="spellStart"/>
            <w:r w:rsidRPr="009E5DBF">
              <w:rPr>
                <w:rFonts w:ascii="Book Antiqua" w:hAnsi="Book Antiqua"/>
                <w:sz w:val="24"/>
                <w:szCs w:val="24"/>
              </w:rPr>
              <w:t>titik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perubahan</w:t>
            </w:r>
            <w:proofErr w:type="spellEnd"/>
          </w:p>
        </w:tc>
        <w:tc>
          <w:tcPr>
            <w:tcW w:w="1842" w:type="dxa"/>
            <w:vAlign w:val="center"/>
          </w:tcPr>
          <w:p w14:paraId="7FB025B7"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581" w:type="dxa"/>
            <w:vAlign w:val="center"/>
          </w:tcPr>
          <w:p w14:paraId="23A3D631"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835" w:type="dxa"/>
            <w:vAlign w:val="center"/>
          </w:tcPr>
          <w:p w14:paraId="5F5CE141"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r>
      <w:tr w:rsidR="009E5DBF" w:rsidRPr="009E5DBF" w14:paraId="5F3F919B" w14:textId="77777777" w:rsidTr="008B61C2">
        <w:trPr>
          <w:trHeight w:val="292"/>
        </w:trPr>
        <w:tc>
          <w:tcPr>
            <w:tcW w:w="1668" w:type="dxa"/>
            <w:vAlign w:val="center"/>
          </w:tcPr>
          <w:p w14:paraId="1D455DA2"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t>Kegigihan</w:t>
            </w:r>
            <w:proofErr w:type="spellEnd"/>
          </w:p>
        </w:tc>
        <w:tc>
          <w:tcPr>
            <w:tcW w:w="1842" w:type="dxa"/>
            <w:vAlign w:val="center"/>
          </w:tcPr>
          <w:p w14:paraId="0925E2E0"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581" w:type="dxa"/>
            <w:vAlign w:val="center"/>
          </w:tcPr>
          <w:p w14:paraId="0D7D68BF"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835" w:type="dxa"/>
            <w:vAlign w:val="center"/>
          </w:tcPr>
          <w:p w14:paraId="1F2811CC"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r>
      <w:tr w:rsidR="009E5DBF" w:rsidRPr="009E5DBF" w14:paraId="30936524" w14:textId="77777777" w:rsidTr="008B61C2">
        <w:trPr>
          <w:trHeight w:val="292"/>
        </w:trPr>
        <w:tc>
          <w:tcPr>
            <w:tcW w:w="1668" w:type="dxa"/>
            <w:vAlign w:val="center"/>
          </w:tcPr>
          <w:p w14:paraId="24C1C0A0" w14:textId="77777777" w:rsidR="009E5DBF" w:rsidRPr="009E5DBF" w:rsidRDefault="009E5DBF" w:rsidP="00230594">
            <w:pPr>
              <w:rPr>
                <w:rFonts w:ascii="Book Antiqua" w:hAnsi="Book Antiqua"/>
                <w:sz w:val="24"/>
                <w:szCs w:val="24"/>
              </w:rPr>
            </w:pPr>
            <w:proofErr w:type="spellStart"/>
            <w:r w:rsidRPr="009E5DBF">
              <w:rPr>
                <w:rFonts w:ascii="Book Antiqua" w:hAnsi="Book Antiqua"/>
                <w:sz w:val="24"/>
                <w:szCs w:val="24"/>
              </w:rPr>
              <w:lastRenderedPageBreak/>
              <w:t>Kepemimpinan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empatik</w:t>
            </w:r>
            <w:proofErr w:type="spellEnd"/>
          </w:p>
        </w:tc>
        <w:tc>
          <w:tcPr>
            <w:tcW w:w="1842" w:type="dxa"/>
            <w:vAlign w:val="center"/>
          </w:tcPr>
          <w:p w14:paraId="38078162"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581" w:type="dxa"/>
            <w:vAlign w:val="center"/>
          </w:tcPr>
          <w:p w14:paraId="12FB5C7A"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c>
          <w:tcPr>
            <w:tcW w:w="2835" w:type="dxa"/>
            <w:vAlign w:val="center"/>
          </w:tcPr>
          <w:p w14:paraId="50177FEC" w14:textId="77777777" w:rsidR="009E5DBF" w:rsidRPr="009E5DBF" w:rsidRDefault="009E5DBF" w:rsidP="00230594">
            <w:pPr>
              <w:rPr>
                <w:rFonts w:ascii="Book Antiqua" w:hAnsi="Book Antiqua"/>
                <w:sz w:val="24"/>
                <w:szCs w:val="24"/>
              </w:rPr>
            </w:pPr>
            <w:r w:rsidRPr="009E5DBF">
              <w:rPr>
                <w:rFonts w:ascii="MS Gothic" w:eastAsia="MS Gothic" w:hAnsi="MS Gothic" w:cs="MS Gothic" w:hint="eastAsia"/>
                <w:sz w:val="24"/>
                <w:szCs w:val="24"/>
              </w:rPr>
              <w:t>✓</w:t>
            </w:r>
          </w:p>
        </w:tc>
      </w:tr>
    </w:tbl>
    <w:p w14:paraId="219BD8D7" w14:textId="77777777" w:rsidR="009E5DBF" w:rsidRPr="009E5DBF" w:rsidRDefault="009E5DBF" w:rsidP="009E5DBF">
      <w:pPr>
        <w:jc w:val="both"/>
        <w:rPr>
          <w:rFonts w:ascii="Book Antiqua" w:hAnsi="Book Antiqua"/>
          <w:sz w:val="24"/>
          <w:szCs w:val="24"/>
        </w:rPr>
      </w:pPr>
    </w:p>
    <w:p w14:paraId="72DA83DF"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Implementasi Layanan: Menunjukkan status implementasi layanan kontrasepsi pascapersalinan di setiap Puskesmas dengan simbol:</w:t>
      </w:r>
    </w:p>
    <w:p w14:paraId="44020510" w14:textId="77777777" w:rsidR="009E5DBF" w:rsidRPr="009E5DBF" w:rsidRDefault="009E5DBF" w:rsidP="009E5DBF">
      <w:pPr>
        <w:pStyle w:val="DaftarParagraf"/>
        <w:numPr>
          <w:ilvl w:val="0"/>
          <w:numId w:val="26"/>
        </w:numPr>
        <w:spacing w:after="0" w:line="240" w:lineRule="auto"/>
        <w:ind w:left="567" w:hanging="567"/>
        <w:jc w:val="both"/>
        <w:rPr>
          <w:rFonts w:ascii="Book Antiqua" w:hAnsi="Book Antiqua"/>
          <w:sz w:val="24"/>
          <w:szCs w:val="24"/>
        </w:rPr>
      </w:pPr>
      <w:r w:rsidRPr="009E5DBF">
        <w:rPr>
          <w:rFonts w:ascii="Book Antiqua" w:hAnsi="Book Antiqua"/>
          <w:sz w:val="24"/>
          <w:szCs w:val="24"/>
        </w:rPr>
        <w:t xml:space="preserve">● </w:t>
      </w:r>
      <w:proofErr w:type="spellStart"/>
      <w:r w:rsidRPr="009E5DBF">
        <w:rPr>
          <w:rFonts w:ascii="Book Antiqua" w:hAnsi="Book Antiqua"/>
          <w:sz w:val="24"/>
          <w:szCs w:val="24"/>
        </w:rPr>
        <w:t>Layanan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tersedia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secara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rutin</w:t>
      </w:r>
      <w:proofErr w:type="spellEnd"/>
    </w:p>
    <w:p w14:paraId="1C8904D1" w14:textId="77777777" w:rsidR="009E5DBF" w:rsidRPr="009E5DBF" w:rsidRDefault="009E5DBF" w:rsidP="009E5DBF">
      <w:pPr>
        <w:pStyle w:val="DaftarParagraf"/>
        <w:numPr>
          <w:ilvl w:val="0"/>
          <w:numId w:val="26"/>
        </w:numPr>
        <w:spacing w:after="0" w:line="240" w:lineRule="auto"/>
        <w:ind w:left="567" w:hanging="567"/>
        <w:jc w:val="both"/>
        <w:rPr>
          <w:rFonts w:ascii="Book Antiqua" w:hAnsi="Book Antiqua"/>
          <w:sz w:val="24"/>
          <w:szCs w:val="24"/>
          <w:lang w:val="sv-SE"/>
        </w:rPr>
      </w:pPr>
      <w:r w:rsidRPr="009E5DBF">
        <w:rPr>
          <w:rFonts w:ascii="Book Antiqua" w:hAnsi="Book Antiqua"/>
          <w:sz w:val="24"/>
          <w:szCs w:val="24"/>
          <w:lang w:val="sv-SE"/>
        </w:rPr>
        <w:t>■ Layanan diimplementasikan tetapi kemudian tidak dirutinkan</w:t>
      </w:r>
    </w:p>
    <w:p w14:paraId="4F8A7CC6" w14:textId="77777777" w:rsidR="009E5DBF" w:rsidRPr="009E5DBF" w:rsidRDefault="009E5DBF" w:rsidP="009E5DBF">
      <w:pPr>
        <w:pStyle w:val="DaftarParagraf"/>
        <w:numPr>
          <w:ilvl w:val="0"/>
          <w:numId w:val="26"/>
        </w:numPr>
        <w:spacing w:after="0" w:line="240" w:lineRule="auto"/>
        <w:ind w:left="567" w:hanging="567"/>
        <w:jc w:val="both"/>
        <w:rPr>
          <w:rFonts w:ascii="Book Antiqua" w:hAnsi="Book Antiqua"/>
          <w:sz w:val="24"/>
          <w:szCs w:val="24"/>
        </w:rPr>
      </w:pPr>
      <w:r w:rsidRPr="009E5DBF">
        <w:rPr>
          <w:rFonts w:ascii="Book Antiqua" w:hAnsi="Book Antiqua"/>
          <w:sz w:val="24"/>
          <w:szCs w:val="24"/>
        </w:rPr>
        <w:t xml:space="preserve">□ </w:t>
      </w:r>
      <w:proofErr w:type="spellStart"/>
      <w:r w:rsidRPr="009E5DBF">
        <w:rPr>
          <w:rFonts w:ascii="Book Antiqua" w:hAnsi="Book Antiqua"/>
          <w:sz w:val="24"/>
          <w:szCs w:val="24"/>
        </w:rPr>
        <w:t>Layanan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tidak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dibuat</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rutin</w:t>
      </w:r>
      <w:proofErr w:type="spellEnd"/>
    </w:p>
    <w:p w14:paraId="0EE19046" w14:textId="77777777" w:rsidR="009E5DBF" w:rsidRPr="009E5DBF" w:rsidRDefault="009E5DBF" w:rsidP="009E5DBF">
      <w:pPr>
        <w:jc w:val="both"/>
        <w:rPr>
          <w:rFonts w:ascii="Book Antiqua" w:hAnsi="Book Antiqua"/>
          <w:sz w:val="24"/>
          <w:szCs w:val="24"/>
          <w:lang w:val="sv-SE"/>
        </w:rPr>
      </w:pPr>
      <w:r w:rsidRPr="009E5DBF">
        <w:rPr>
          <w:rFonts w:ascii="Book Antiqua" w:hAnsi="Book Antiqua"/>
          <w:sz w:val="24"/>
          <w:szCs w:val="24"/>
          <w:lang w:val="sv-SE"/>
        </w:rPr>
        <w:t>Penilaian Kualitatif Konteks Organisasi untuk Implementasi: Menggambarkan kondisi kontekstual yang mempengaruhi implementasi, termasuk:</w:t>
      </w:r>
    </w:p>
    <w:p w14:paraId="7E6886D2" w14:textId="77777777" w:rsidR="009E5DBF" w:rsidRPr="009E5DBF" w:rsidRDefault="009E5DBF" w:rsidP="009E5DBF">
      <w:pPr>
        <w:pStyle w:val="DaftarParagraf"/>
        <w:numPr>
          <w:ilvl w:val="0"/>
          <w:numId w:val="25"/>
        </w:numPr>
        <w:spacing w:after="0" w:line="240" w:lineRule="auto"/>
        <w:ind w:left="567" w:hanging="567"/>
        <w:jc w:val="both"/>
        <w:rPr>
          <w:rFonts w:ascii="Book Antiqua" w:hAnsi="Book Antiqua"/>
          <w:sz w:val="24"/>
          <w:szCs w:val="24"/>
          <w:lang w:val="sv-SE"/>
        </w:rPr>
      </w:pPr>
      <w:r w:rsidRPr="009E5DBF">
        <w:rPr>
          <w:rFonts w:ascii="Book Antiqua" w:hAnsi="Book Antiqua"/>
          <w:sz w:val="24"/>
          <w:szCs w:val="24"/>
          <w:lang w:val="sv-SE"/>
        </w:rPr>
        <w:t>Konteks Eksternal: Kebijakan pembayaran dan insentif dari pihak pembayar.</w:t>
      </w:r>
    </w:p>
    <w:p w14:paraId="0B092BBD" w14:textId="77777777" w:rsidR="009E5DBF" w:rsidRPr="009E5DBF" w:rsidRDefault="009E5DBF" w:rsidP="009E5DBF">
      <w:pPr>
        <w:pStyle w:val="DaftarParagraf"/>
        <w:numPr>
          <w:ilvl w:val="0"/>
          <w:numId w:val="25"/>
        </w:numPr>
        <w:spacing w:after="0" w:line="240" w:lineRule="auto"/>
        <w:ind w:left="567" w:hanging="567"/>
        <w:jc w:val="both"/>
        <w:rPr>
          <w:rFonts w:ascii="Book Antiqua" w:hAnsi="Book Antiqua"/>
          <w:sz w:val="24"/>
          <w:szCs w:val="24"/>
          <w:lang w:val="sv-SE"/>
        </w:rPr>
      </w:pPr>
      <w:r w:rsidRPr="009E5DBF">
        <w:rPr>
          <w:rFonts w:ascii="Book Antiqua" w:hAnsi="Book Antiqua"/>
          <w:sz w:val="24"/>
          <w:szCs w:val="24"/>
          <w:lang w:val="sv-SE"/>
        </w:rPr>
        <w:t>Konteks Internal: Kompleksitas institusi, kekuatan jaringan dan komunikasi, serta sikap pemangku kepentingan terhadap inovasi.</w:t>
      </w:r>
    </w:p>
    <w:p w14:paraId="79DFB877" w14:textId="77777777" w:rsidR="009E5DBF" w:rsidRPr="009E5DBF" w:rsidRDefault="009E5DBF" w:rsidP="009E5DBF">
      <w:pPr>
        <w:pStyle w:val="DaftarParagraf"/>
        <w:numPr>
          <w:ilvl w:val="0"/>
          <w:numId w:val="25"/>
        </w:numPr>
        <w:spacing w:after="0" w:line="240" w:lineRule="auto"/>
        <w:ind w:left="567" w:hanging="567"/>
        <w:jc w:val="both"/>
        <w:rPr>
          <w:rFonts w:ascii="Book Antiqua" w:hAnsi="Book Antiqua"/>
          <w:sz w:val="24"/>
          <w:szCs w:val="24"/>
          <w:lang w:val="sv-SE"/>
        </w:rPr>
      </w:pPr>
      <w:r w:rsidRPr="009E5DBF">
        <w:rPr>
          <w:rFonts w:ascii="Book Antiqua" w:hAnsi="Book Antiqua"/>
          <w:sz w:val="24"/>
          <w:szCs w:val="24"/>
          <w:lang w:val="sv-SE"/>
        </w:rPr>
        <w:t>Karakteristik Individu: Sikap individu terhadap inovasi.</w:t>
      </w:r>
    </w:p>
    <w:p w14:paraId="16B4A006" w14:textId="77777777" w:rsidR="009E5DBF" w:rsidRPr="009E5DBF" w:rsidRDefault="009E5DBF" w:rsidP="009E5DBF">
      <w:pPr>
        <w:jc w:val="both"/>
        <w:rPr>
          <w:rFonts w:ascii="Book Antiqua" w:hAnsi="Book Antiqua"/>
          <w:sz w:val="24"/>
          <w:szCs w:val="24"/>
        </w:rPr>
      </w:pPr>
      <w:proofErr w:type="spellStart"/>
      <w:r w:rsidRPr="009E5DBF">
        <w:rPr>
          <w:rFonts w:ascii="Book Antiqua" w:hAnsi="Book Antiqua"/>
          <w:sz w:val="24"/>
          <w:szCs w:val="24"/>
        </w:rPr>
        <w:t>Simbol</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upaya</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dibutuhkan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dari</w:t>
      </w:r>
      <w:proofErr w:type="spellEnd"/>
      <w:r w:rsidRPr="009E5DBF">
        <w:rPr>
          <w:rFonts w:ascii="Book Antiqua" w:hAnsi="Book Antiqua"/>
          <w:sz w:val="24"/>
          <w:szCs w:val="24"/>
        </w:rPr>
        <w:t xml:space="preserve"> champion:</w:t>
      </w:r>
    </w:p>
    <w:p w14:paraId="2A6BC426" w14:textId="77777777" w:rsidR="009E5DBF" w:rsidRPr="009E5DBF" w:rsidRDefault="009E5DBF" w:rsidP="009E5DBF">
      <w:pPr>
        <w:pStyle w:val="DaftarParagraf"/>
        <w:numPr>
          <w:ilvl w:val="0"/>
          <w:numId w:val="27"/>
        </w:numPr>
        <w:spacing w:after="0" w:line="240" w:lineRule="auto"/>
        <w:ind w:left="567" w:hanging="567"/>
        <w:jc w:val="both"/>
        <w:rPr>
          <w:rFonts w:ascii="Book Antiqua" w:hAnsi="Book Antiqua"/>
          <w:sz w:val="24"/>
          <w:szCs w:val="24"/>
        </w:rPr>
      </w:pPr>
      <w:r w:rsidRPr="009E5DBF">
        <w:rPr>
          <w:rFonts w:ascii="Book Antiqua" w:hAnsi="Book Antiqua"/>
          <w:sz w:val="24"/>
          <w:szCs w:val="24"/>
        </w:rPr>
        <w:t>○ Upaya minimal</w:t>
      </w:r>
    </w:p>
    <w:p w14:paraId="0350A19A" w14:textId="77777777" w:rsidR="009E5DBF" w:rsidRPr="009E5DBF" w:rsidRDefault="009E5DBF" w:rsidP="009E5DBF">
      <w:pPr>
        <w:pStyle w:val="DaftarParagraf"/>
        <w:numPr>
          <w:ilvl w:val="0"/>
          <w:numId w:val="27"/>
        </w:numPr>
        <w:spacing w:after="0" w:line="240" w:lineRule="auto"/>
        <w:ind w:left="567" w:hanging="567"/>
        <w:jc w:val="both"/>
        <w:rPr>
          <w:rFonts w:ascii="Book Antiqua" w:hAnsi="Book Antiqua"/>
          <w:sz w:val="24"/>
          <w:szCs w:val="24"/>
        </w:rPr>
      </w:pPr>
      <w:r w:rsidRPr="009E5DBF">
        <w:rPr>
          <w:rFonts w:ascii="Book Antiqua" w:hAnsi="Book Antiqua"/>
          <w:sz w:val="24"/>
          <w:szCs w:val="24"/>
        </w:rPr>
        <w:t xml:space="preserve">● </w:t>
      </w:r>
      <w:proofErr w:type="spellStart"/>
      <w:r w:rsidRPr="009E5DBF">
        <w:rPr>
          <w:rFonts w:ascii="Book Antiqua" w:hAnsi="Book Antiqua"/>
          <w:sz w:val="24"/>
          <w:szCs w:val="24"/>
        </w:rPr>
        <w:t>Upaya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sedang</w:t>
      </w:r>
      <w:proofErr w:type="spellEnd"/>
    </w:p>
    <w:p w14:paraId="47544279" w14:textId="77777777" w:rsidR="009E5DBF" w:rsidRPr="009E5DBF" w:rsidRDefault="009E5DBF" w:rsidP="009E5DBF">
      <w:pPr>
        <w:pStyle w:val="DaftarParagraf"/>
        <w:numPr>
          <w:ilvl w:val="0"/>
          <w:numId w:val="27"/>
        </w:numPr>
        <w:spacing w:after="0" w:line="240" w:lineRule="auto"/>
        <w:ind w:left="567" w:hanging="567"/>
        <w:jc w:val="both"/>
        <w:rPr>
          <w:rFonts w:ascii="Book Antiqua" w:hAnsi="Book Antiqua"/>
          <w:sz w:val="24"/>
          <w:szCs w:val="24"/>
        </w:rPr>
      </w:pPr>
      <w:r w:rsidRPr="009E5DBF">
        <w:rPr>
          <w:rFonts w:ascii="Book Antiqua" w:hAnsi="Book Antiqua"/>
          <w:sz w:val="24"/>
          <w:szCs w:val="24"/>
        </w:rPr>
        <w:t xml:space="preserve">● </w:t>
      </w:r>
      <w:proofErr w:type="spellStart"/>
      <w:r w:rsidRPr="009E5DBF">
        <w:rPr>
          <w:rFonts w:ascii="Book Antiqua" w:hAnsi="Book Antiqua"/>
          <w:sz w:val="24"/>
          <w:szCs w:val="24"/>
        </w:rPr>
        <w:t>Upaya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signifikan</w:t>
      </w:r>
      <w:proofErr w:type="spellEnd"/>
    </w:p>
    <w:p w14:paraId="0686F846" w14:textId="77777777" w:rsidR="009E5DBF" w:rsidRPr="009E5DBF" w:rsidRDefault="009E5DBF" w:rsidP="009E5DBF">
      <w:pPr>
        <w:jc w:val="both"/>
        <w:rPr>
          <w:rFonts w:ascii="Book Antiqua" w:hAnsi="Book Antiqua"/>
          <w:sz w:val="24"/>
          <w:szCs w:val="24"/>
        </w:rPr>
      </w:pPr>
      <w:proofErr w:type="spellStart"/>
      <w:r w:rsidRPr="009E5DBF">
        <w:rPr>
          <w:rFonts w:ascii="Book Antiqua" w:hAnsi="Book Antiqua"/>
          <w:sz w:val="24"/>
          <w:szCs w:val="24"/>
        </w:rPr>
        <w:t>Atribut</w:t>
      </w:r>
      <w:proofErr w:type="spellEnd"/>
      <w:r w:rsidRPr="009E5DBF">
        <w:rPr>
          <w:rFonts w:ascii="Book Antiqua" w:hAnsi="Book Antiqua"/>
          <w:sz w:val="24"/>
          <w:szCs w:val="24"/>
        </w:rPr>
        <w:t xml:space="preserve"> Champion: </w:t>
      </w:r>
      <w:proofErr w:type="spellStart"/>
      <w:r w:rsidRPr="009E5DBF">
        <w:rPr>
          <w:rFonts w:ascii="Book Antiqua" w:hAnsi="Book Antiqua"/>
          <w:sz w:val="24"/>
          <w:szCs w:val="24"/>
        </w:rPr>
        <w:t>Menunjukkan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atribut</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dimiliki</w:t>
      </w:r>
      <w:proofErr w:type="spellEnd"/>
      <w:r w:rsidRPr="009E5DBF">
        <w:rPr>
          <w:rFonts w:ascii="Book Antiqua" w:hAnsi="Book Antiqua"/>
          <w:sz w:val="24"/>
          <w:szCs w:val="24"/>
        </w:rPr>
        <w:t xml:space="preserve"> oleh champion di </w:t>
      </w:r>
      <w:proofErr w:type="spellStart"/>
      <w:r w:rsidRPr="009E5DBF">
        <w:rPr>
          <w:rFonts w:ascii="Book Antiqua" w:hAnsi="Book Antiqua"/>
          <w:sz w:val="24"/>
          <w:szCs w:val="24"/>
        </w:rPr>
        <w:t>setiap</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lokasi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seperti</w:t>
      </w:r>
      <w:proofErr w:type="spellEnd"/>
      <w:r w:rsidRPr="009E5DBF">
        <w:rPr>
          <w:rFonts w:ascii="Book Antiqua" w:hAnsi="Book Antiqua"/>
          <w:sz w:val="24"/>
          <w:szCs w:val="24"/>
        </w:rPr>
        <w:t>:</w:t>
      </w:r>
    </w:p>
    <w:p w14:paraId="02EF5785" w14:textId="77777777" w:rsidR="009E5DBF" w:rsidRPr="009E5DBF" w:rsidRDefault="009E5DBF" w:rsidP="009E5DBF">
      <w:pPr>
        <w:pStyle w:val="DaftarParagraf"/>
        <w:numPr>
          <w:ilvl w:val="0"/>
          <w:numId w:val="28"/>
        </w:numPr>
        <w:spacing w:after="0" w:line="240" w:lineRule="auto"/>
        <w:ind w:left="567" w:hanging="567"/>
        <w:jc w:val="both"/>
        <w:rPr>
          <w:rFonts w:ascii="Book Antiqua" w:hAnsi="Book Antiqua"/>
          <w:sz w:val="24"/>
          <w:szCs w:val="24"/>
        </w:rPr>
      </w:pPr>
      <w:proofErr w:type="spellStart"/>
      <w:r w:rsidRPr="009E5DBF">
        <w:rPr>
          <w:rFonts w:ascii="Book Antiqua" w:hAnsi="Book Antiqua"/>
          <w:sz w:val="24"/>
          <w:szCs w:val="24"/>
        </w:rPr>
        <w:t>Pengaruh</w:t>
      </w:r>
      <w:proofErr w:type="spellEnd"/>
    </w:p>
    <w:p w14:paraId="32FD44BC" w14:textId="77777777" w:rsidR="009E5DBF" w:rsidRPr="009E5DBF" w:rsidRDefault="009E5DBF" w:rsidP="009E5DBF">
      <w:pPr>
        <w:pStyle w:val="DaftarParagraf"/>
        <w:numPr>
          <w:ilvl w:val="0"/>
          <w:numId w:val="28"/>
        </w:numPr>
        <w:spacing w:after="0" w:line="240" w:lineRule="auto"/>
        <w:ind w:left="567" w:hanging="567"/>
        <w:jc w:val="both"/>
        <w:rPr>
          <w:rFonts w:ascii="Book Antiqua" w:hAnsi="Book Antiqua"/>
          <w:sz w:val="24"/>
          <w:szCs w:val="24"/>
        </w:rPr>
      </w:pPr>
      <w:proofErr w:type="spellStart"/>
      <w:r w:rsidRPr="009E5DBF">
        <w:rPr>
          <w:rFonts w:ascii="Book Antiqua" w:hAnsi="Book Antiqua"/>
          <w:sz w:val="24"/>
          <w:szCs w:val="24"/>
        </w:rPr>
        <w:t>Kepemilikan</w:t>
      </w:r>
      <w:proofErr w:type="spellEnd"/>
    </w:p>
    <w:p w14:paraId="3942BBB6" w14:textId="77777777" w:rsidR="009E5DBF" w:rsidRPr="009E5DBF" w:rsidRDefault="009E5DBF" w:rsidP="009E5DBF">
      <w:pPr>
        <w:pStyle w:val="DaftarParagraf"/>
        <w:numPr>
          <w:ilvl w:val="0"/>
          <w:numId w:val="28"/>
        </w:numPr>
        <w:spacing w:after="0" w:line="240" w:lineRule="auto"/>
        <w:ind w:left="567" w:hanging="567"/>
        <w:jc w:val="both"/>
        <w:rPr>
          <w:rFonts w:ascii="Book Antiqua" w:hAnsi="Book Antiqua"/>
          <w:sz w:val="24"/>
          <w:szCs w:val="24"/>
        </w:rPr>
      </w:pPr>
      <w:proofErr w:type="spellStart"/>
      <w:r w:rsidRPr="009E5DBF">
        <w:rPr>
          <w:rFonts w:ascii="Book Antiqua" w:hAnsi="Book Antiqua"/>
          <w:sz w:val="24"/>
          <w:szCs w:val="24"/>
        </w:rPr>
        <w:t>Kehadiran</w:t>
      </w:r>
      <w:proofErr w:type="spellEnd"/>
      <w:r w:rsidRPr="009E5DBF">
        <w:rPr>
          <w:rFonts w:ascii="Book Antiqua" w:hAnsi="Book Antiqua"/>
          <w:sz w:val="24"/>
          <w:szCs w:val="24"/>
        </w:rPr>
        <w:t xml:space="preserve"> di </w:t>
      </w:r>
      <w:proofErr w:type="spellStart"/>
      <w:r w:rsidRPr="009E5DBF">
        <w:rPr>
          <w:rFonts w:ascii="Book Antiqua" w:hAnsi="Book Antiqua"/>
          <w:sz w:val="24"/>
          <w:szCs w:val="24"/>
        </w:rPr>
        <w:t>titik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perubahan</w:t>
      </w:r>
      <w:proofErr w:type="spellEnd"/>
    </w:p>
    <w:p w14:paraId="036061D5" w14:textId="77777777" w:rsidR="009E5DBF" w:rsidRPr="009E5DBF" w:rsidRDefault="009E5DBF" w:rsidP="009E5DBF">
      <w:pPr>
        <w:pStyle w:val="DaftarParagraf"/>
        <w:numPr>
          <w:ilvl w:val="0"/>
          <w:numId w:val="28"/>
        </w:numPr>
        <w:spacing w:after="0" w:line="240" w:lineRule="auto"/>
        <w:ind w:left="567" w:hanging="567"/>
        <w:jc w:val="both"/>
        <w:rPr>
          <w:rFonts w:ascii="Book Antiqua" w:hAnsi="Book Antiqua"/>
          <w:sz w:val="24"/>
          <w:szCs w:val="24"/>
        </w:rPr>
      </w:pPr>
      <w:proofErr w:type="spellStart"/>
      <w:r w:rsidRPr="009E5DBF">
        <w:rPr>
          <w:rFonts w:ascii="Book Antiqua" w:hAnsi="Book Antiqua"/>
          <w:sz w:val="24"/>
          <w:szCs w:val="24"/>
        </w:rPr>
        <w:t>Kegigihan</w:t>
      </w:r>
      <w:proofErr w:type="spellEnd"/>
      <w:r w:rsidRPr="009E5DBF">
        <w:rPr>
          <w:rFonts w:ascii="Book Antiqua" w:hAnsi="Book Antiqua"/>
          <w:sz w:val="24"/>
          <w:szCs w:val="24"/>
        </w:rPr>
        <w:t xml:space="preserve"> </w:t>
      </w:r>
    </w:p>
    <w:p w14:paraId="4318BBF7" w14:textId="77777777" w:rsidR="009E5DBF" w:rsidRPr="009E5DBF" w:rsidRDefault="009E5DBF" w:rsidP="009E5DBF">
      <w:pPr>
        <w:pStyle w:val="DaftarParagraf"/>
        <w:numPr>
          <w:ilvl w:val="0"/>
          <w:numId w:val="28"/>
        </w:numPr>
        <w:spacing w:after="0" w:line="240" w:lineRule="auto"/>
        <w:ind w:left="567" w:hanging="567"/>
        <w:jc w:val="both"/>
        <w:rPr>
          <w:rFonts w:ascii="Book Antiqua" w:hAnsi="Book Antiqua"/>
          <w:sz w:val="24"/>
          <w:szCs w:val="24"/>
        </w:rPr>
      </w:pPr>
      <w:proofErr w:type="spellStart"/>
      <w:r w:rsidRPr="009E5DBF">
        <w:rPr>
          <w:rFonts w:ascii="Book Antiqua" w:hAnsi="Book Antiqua"/>
          <w:sz w:val="24"/>
          <w:szCs w:val="24"/>
        </w:rPr>
        <w:t>Kepemimpinan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empatik</w:t>
      </w:r>
      <w:proofErr w:type="spellEnd"/>
    </w:p>
    <w:p w14:paraId="502816AC" w14:textId="26EFB977" w:rsidR="009E5DBF" w:rsidRPr="009E5DBF" w:rsidRDefault="009E5DBF" w:rsidP="009E5DBF">
      <w:pPr>
        <w:pStyle w:val="DaftarParagraf"/>
        <w:spacing w:after="0" w:line="240" w:lineRule="auto"/>
        <w:ind w:left="0" w:firstLine="567"/>
        <w:jc w:val="both"/>
        <w:rPr>
          <w:rFonts w:ascii="Book Antiqua" w:hAnsi="Book Antiqua"/>
          <w:sz w:val="24"/>
          <w:szCs w:val="24"/>
        </w:rPr>
      </w:pPr>
      <w:r w:rsidRPr="009E5DBF">
        <w:rPr>
          <w:rFonts w:ascii="Book Antiqua" w:hAnsi="Book Antiqua"/>
          <w:sz w:val="24"/>
          <w:szCs w:val="24"/>
          <w:lang w:val="sv-SE"/>
        </w:rPr>
        <w:t xml:space="preserve">Simbol </w:t>
      </w:r>
      <w:r w:rsidRPr="009E5DBF">
        <w:rPr>
          <w:rFonts w:ascii="MS Gothic" w:eastAsia="MS Gothic" w:hAnsi="MS Gothic" w:cs="MS Gothic" w:hint="eastAsia"/>
          <w:sz w:val="24"/>
          <w:szCs w:val="24"/>
          <w:lang w:val="sv-SE"/>
        </w:rPr>
        <w:t>✓</w:t>
      </w:r>
      <w:r w:rsidRPr="009E5DBF">
        <w:rPr>
          <w:rFonts w:ascii="Book Antiqua" w:hAnsi="Book Antiqua"/>
          <w:sz w:val="24"/>
          <w:szCs w:val="24"/>
          <w:lang w:val="sv-SE"/>
        </w:rPr>
        <w:t xml:space="preserve"> menunjukkan kehadiran atau relevansi atribut atau kondisi tertentu dalam konteks yang dinyatakan</w:t>
      </w:r>
    </w:p>
    <w:p w14:paraId="62E82958" w14:textId="77777777" w:rsidR="009E5DBF" w:rsidRPr="009E5DBF" w:rsidRDefault="009E5DBF" w:rsidP="009E5DBF">
      <w:pPr>
        <w:ind w:firstLine="567"/>
        <w:jc w:val="both"/>
        <w:rPr>
          <w:rFonts w:ascii="Book Antiqua" w:hAnsi="Book Antiqua"/>
          <w:sz w:val="24"/>
          <w:szCs w:val="24"/>
          <w:lang w:val="sv-SE"/>
        </w:rPr>
      </w:pPr>
    </w:p>
    <w:p w14:paraId="7F86EDE8" w14:textId="77777777" w:rsidR="009E5DBF" w:rsidRPr="009E5DBF" w:rsidRDefault="009E5DBF" w:rsidP="009E5DBF">
      <w:pPr>
        <w:ind w:firstLine="567"/>
        <w:jc w:val="both"/>
        <w:rPr>
          <w:rFonts w:ascii="Book Antiqua" w:hAnsi="Book Antiqua"/>
          <w:sz w:val="24"/>
          <w:szCs w:val="24"/>
          <w:lang w:val="sv-SE"/>
        </w:rPr>
      </w:pPr>
    </w:p>
    <w:p w14:paraId="366819F1"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Atribut Champion utama</w:t>
      </w:r>
    </w:p>
    <w:p w14:paraId="71455F45"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Dokter spesialis kebidanan dan kandungan memimpin implementasi di lokasi penelitian sebagai champion. Beberapa champion (n = 6) atau satu orang menerima studi fellowship lebih lanjut di bidang kedokteran ibu dan janin (MFM). Dua dokter champion (satu dokter spesialis kebidanan dan satu dokter spesialis kandungan) dengan spesialisasi yang berbeda-beda berkolaborasi untuk memimpin implementasi di satu puskesmas (lokasi 5). Mayoritas champion mengetahui kegiatan sehari-hari di bagian bersalin karena mereka bekerja di sana. Tidak ada satu pun waktu yang disisihkan untuk tugas-tugas implementasi. Mengembangkan hubungan dengan pemangku kepentingan, membentuk koalisi untuk memimpin implementasi, mendidik dan melatih pemangku kepentingan, menggunakan strategi keuangan, melakukan peningkatan implementasi, dan memodifikasi infrastruktur adalah beberapa taktik serupa yang digunakan oleh para champion di seluruh puskesmas untuk mendorong implementasi.</w:t>
      </w:r>
    </w:p>
    <w:p w14:paraId="0D64CBF6"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Bagian selanjutnya memberikan bukti kualitatif yang menunjukkan bahwa kemampuan para champion untuk berhasil mengadopsi praktik-praktik baru berkorelasi dengan enam atribut penting: (1) kepemilikan, (2) pengaruh, (3) kehadiran fisik di lokasi perubahan, (4) ketabahan, (5) kemampuan persuasif, dan </w:t>
      </w:r>
      <w:r w:rsidRPr="009E5DBF">
        <w:rPr>
          <w:rFonts w:ascii="Book Antiqua" w:hAnsi="Book Antiqua"/>
          <w:sz w:val="24"/>
          <w:szCs w:val="24"/>
          <w:lang w:val="sv-SE"/>
        </w:rPr>
        <w:lastRenderedPageBreak/>
        <w:t xml:space="preserve">(6) gaya kepemimpinan partisipatif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{"citationItems":[{"id":"ITEM-1","itemData":{"DOI":"10.1186/s12913-024-10867-7","ISBN":"1291302410867","ISSN":"14726963","PMID":"38605304","abstract":"Background: Champions play a critical role in implementing technology within healthcare services. While prior studies have explored the presence and characteristics of champions, this review delves into the experiences of healthcare personnel holding champion roles, as well as the experiences of healthcare personnel interacting with them. By synthesizing existing knowledge, this review aims to inform decisions regarding the inclusion of champions as a strategy in technology implementation and guide healthcare personnel in these roles. Methods: A systematic mixed studies review, covering qualitative, quantitative, or mixed designs, was conducted from September 2022 to March 2023. The search spanned Medline, Embase, CINAHL, and Scopus, focusing on studies published from 2012 onwards. The review centered on health personnel serving as champions in technology implementation within healthcare services. Quality assessments utilized the Mixed Methods Appraisal Tool (MMAT). Results: From 1629 screened studies, 23 were included. The champion role was often examined within the broader context of technology implementation. Limited studies explicitly explored experiences related to the champion role from both champions’ and health personnel’s perspectives. Champions emerged as promoters of technology, supporting its adoption. Success factors included anchoring and selection processes, champions’ expertise, and effective role performance. Discussion: The specific tasks and responsibilities assigned to champions differed across reviewed studies, highlighting that the role of champion is a broad one, dependent on the technology being implemented and the site implementing it. Findings indicated a correlation between champion experiences and organizational characteristics. The role’s firm anchoring within the organization is crucial. Limited evidence suggests that volunteering, hiring newly graduated health personnel, and having multiple champions can facilitate technology implementation. Existing studies predominantly focused on client health records and hospitals, emphasizing the need for broader research across healthcare services. Conclusions: With a clear mandate, dedicated time, and proper training, health personnel in champion roles can significantly contribute professional, technological, and personal competencies to facilitate technology adoption within healthcare services. The review finds that the concept of champions is a broad one and finds varied definitio…","author":[{"dropping-particle":"","family":"Pettersen","given":"Sissel","non-dropping-particle":"","parse-names":false,"suffix":""},{"dropping-particle":"","family":"Eide","given":"Hilde","non-dropping-particle":"","parse-names":false,"suffix":""},{"dropping-particle":"","family":"Berg","given":"Anita","non-dropping-particle":"","parse-names":false,"suffix":""}],"container-title":"BMC Health Services Research","id":"ITEM-1","issue":"1","issued":{"date-parts":[["2024"]]},"page":"1-16","title":"The role of champions in the implementation of technology in healthcare services: a systematic mixed studies review","type":"article-journal","volume":"24"},"uris":["http://www.mendeley.com/documents/?uuid=7b890a38-59e3-4758-a51a-21b0b50dc1fc"]},{"id":"ITEM-2","itemData":{"DOI":"10.1186/s43058-022-00315-0","ISSN":"26622211","PMID":"35869516","abstract":"Background: Champions have been documented in the literature as an important strategy for implementation, yet their effectiveness has not been well synthesized in the health care literature. The aim of this systematic review was to determine whether champions, tested in isolation from other implementation strategies, are effective at improving innovation use or outcomes in health care. Methods: The JBI systematic review method guided this study. A peer-reviewed search strategy was applied to eight electronic databases to identify relevant articles. We included all published articles and unpublished theses and dissertations that used a quantitative study design to evaluate the effectiveness of champions in implementing innovations within health care settings. Two researchers independently completed study selection, data extraction, and quality appraisal. We used content analysis and vote counting to synthesize our data. Results: After screening 7566 records titles and abstracts and 2090 full text articles, we included 35 studies in our review. Most of the studies (71.4%) operationalized the champion strategy by the presence or absence of a champion. In a subset of seven studies, five studies found associations between exposure to champions and increased use of best practices, programs, or technological innovations at an organizational level. In other subsets, the evidence pertaining to use of champions and innovation use by patients or providers, or at improving outcomes was either mixed or scarce. Conclusions: We identified a small body of literature reporting an association between use of champions and increased instrumental use of innovations by organizations. However, more research is needed to determine causal relationship between champions and innovation use and outcomes. Even though there are no reported adverse effects in using champions, opportunity costs may be associated with their use. Until more evidence becomes available about the effectiveness of champions at increasing innovation use and outcomes, the decision to deploy champions should consider the needs and resources of the organization and include an evaluation plan. To further our understanding of champions’ effectiveness, future studies should (1) use experimental study designs in conjunction with process evaluations, (2) describe champions and their activities and (3) rigorously evaluate the effectiveness of champions’ activities. Registration: Open Science Framework (https://osf.io…","author":[{"dropping-particle":"","family":"Santos","given":"Wilmer J.","non-dropping-particle":"","parse-names":false,"suffix":""},{"dropping-particle":"","family":"Graham","given":"Ian D.","non-dropping-particle":"","parse-names":false,"suffix":""},{"dropping-particle":"","family":"Lalonde","given":"Michelle","non-dropping-particle":"","parse-names":false,"suffix":""},{"dropping-particle":"","family":"Demery Varin","given":"Melissa","non-dropping-particle":"","parse-names":false,"suffix":""},{"dropping-particle":"","family":"Squires","given":"Janet E.","non-dropping-particle":"","parse-names":false,"suffix":""}],"container-title":"Implementation Science Communications","id":"ITEM-2","issue":"1","issued":{"date-parts":[["2022"]]},"page":"1-48","publisher":"BioMed Central","title":"The effectiveness of champions in implementing innovations in health care: a systematic review","type":"article-journal","volume":"3"},"uris":["http://www.mendeley.com/documents/?uuid=e54b0df4-e359-4932-ad77-ae77bf5f9afd"]}],"mendeley":{"formattedCitation":"(Pettersen et al., 2024; Santos et al., 2022)","plainTextFormattedCitation":"(Pettersen et al., 2024; Santos et al., 2022)","previouslyFormattedCitation":"(Pettersen et al., 2024; Santos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(Pettersen et al., 2024; Santos et al., 2022)</w:t>
      </w:r>
      <w:r w:rsidRPr="009E5DBF">
        <w:rPr>
          <w:rFonts w:ascii="Book Antiqua" w:hAnsi="Book Antiqua"/>
          <w:sz w:val="24"/>
          <w:szCs w:val="24"/>
          <w:lang w:val="sv-SE"/>
        </w:rPr>
        <w:fldChar w:fldCharType="end"/>
      </w:r>
      <w:r w:rsidRPr="009E5DBF">
        <w:rPr>
          <w:rFonts w:ascii="Book Antiqua" w:hAnsi="Book Antiqua"/>
          <w:sz w:val="24"/>
          <w:szCs w:val="24"/>
          <w:lang w:val="sv-SE"/>
        </w:rPr>
        <w:t>. Kami membahas secara rinci bagaimana setiap kualitas mempengaruhi kapasitas champion untuk melewati hambatan organisasi dalam implementasi atau bekerja sama dengan fasilitator untuk menyelesaikan berbagai hal di puskesmas mereka.</w:t>
      </w:r>
    </w:p>
    <w:p w14:paraId="50FCC2DE" w14:textId="77777777" w:rsidR="009E5DBF" w:rsidRPr="009E5DBF" w:rsidRDefault="009E5DBF" w:rsidP="009E5DBF">
      <w:pPr>
        <w:ind w:firstLine="567"/>
        <w:jc w:val="both"/>
        <w:rPr>
          <w:rFonts w:ascii="Book Antiqua" w:hAnsi="Book Antiqua"/>
          <w:sz w:val="24"/>
          <w:szCs w:val="24"/>
          <w:lang w:val="sv-SE"/>
        </w:rPr>
      </w:pPr>
    </w:p>
    <w:p w14:paraId="6EF15370"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 xml:space="preserve">Pengaruh </w:t>
      </w:r>
    </w:p>
    <w:p w14:paraId="3B1ADCE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Para champion menggunakan berbagai tingkat kekuasaan mereka untuk membujuk rekan kerja mendukung perubahan dan mengatasi hambatan organisasi. Ada tiga hal yang berkontribusi terhadap pengaruh: ketajaman kelembagaan, otoritas informal, dan otoritas formal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{"citationItems":[{"id":"ITEM-1","itemData":{"author":[{"dropping-particle":"","family":"Belludi","given":"Nagesh","non-dropping-particle":"","parse-names":false,"suffix":""}],"container-title":"Right Attitudes","id":"ITEM-1","issued":{"date-parts":[["2021"]]},"title":"Ask for Forgiveness, Not Permission","type":"webpage"},"uris":["http://www.mendeley.com/documents/?uuid=ac4df74b-9450-32ea-9825-1e8a3991e127"]}],"mendeley":{"formattedCitation":"(Belludi, 2021)","plainTextFormattedCitation":"(Belludi, 2021)","previouslyFormattedCitation":"(Belludi, 2021)"},"properties":{"noteIndex":0},"schema":"https://github.com/citation-style-language/schema/raw/master/csl-citation.json"}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(Belludi, 2021)</w:t>
      </w:r>
      <w:r w:rsidRPr="009E5DBF">
        <w:rPr>
          <w:rFonts w:ascii="Book Antiqua" w:hAnsi="Book Antiqua"/>
          <w:sz w:val="24"/>
          <w:szCs w:val="24"/>
          <w:lang w:val="sv-SE"/>
        </w:rPr>
        <w:fldChar w:fldCharType="end"/>
      </w:r>
      <w:r w:rsidRPr="009E5DBF">
        <w:rPr>
          <w:rFonts w:ascii="Book Antiqua" w:hAnsi="Book Antiqua"/>
          <w:sz w:val="24"/>
          <w:szCs w:val="24"/>
          <w:lang w:val="sv-SE"/>
        </w:rPr>
        <w:t>. Enam champion (lokasi 1, 2, 4, 5, 6, dan 10) memegang posisi kekuasaan resmi di dalam institusi mereka sebagai pemimpin yang sangat terlihat (misalnya, kepala puskesmas, kepala program). Para champion di dua lokasi (lokasi 1 dan 2) memiliki kekuasaan yang cukup untuk memulai kegiatan implementasi tanpa otorisasi lebih lanjut dari pihak lain.</w:t>
      </w:r>
    </w:p>
    <w:p w14:paraId="109A9039"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"Saya mengambil sikap 'meminta maaf; bukan izin', oleh karena itu, kami tidak mendapatkan izin dari siapa pun sebelum melakukan ini. Kami baru saja memulainya. Dan, baiklah. Karena tidak ada yang benar-benar menyuarakan keprihatinan, kami melanjutkan seperti sebelumnya." (Champion, Lokasi 1)</w:t>
      </w:r>
    </w:p>
    <w:p w14:paraId="149B948E"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Posisi resmi mereka memberikan mereka akses ke area-area penting di puskesmas dan menjamin bahwa permintaan mereka akan dipenuhi. Di tiga lokasi - lokasi 3, 7, dan 9 - para champion bertindak sebagai perantara antara masyarakat dan otoritas formal, daripada memegangnya sendiri </w:t>
      </w:r>
      <w:sdt>
        <w:sdtPr>
          <w:rPr>
            <w:rFonts w:ascii="Book Antiqua" w:hAnsi="Book Antiqua"/>
            <w:color w:val="000000"/>
            <w:sz w:val="24"/>
            <w:szCs w:val="24"/>
            <w:lang w:val="sv-SE"/>
          </w:rPr>
          <w:tag w:val="MENDELEY_CITATION_v3_eyJjaXRhdGlvbklEIjoiTUVOREVMRVlfQ0lUQVRJT05fNzI5ZjM4M2QtZGVjZC00MTlmLWJkZTAtMDg5MzQ2ZTExYmNlIiwicHJvcGVydGllcyI6eyJub3RlSW5kZXgiOjB9LCJpc0VkaXRlZCI6ZmFsc2UsIm1hbnVhbE92ZXJyaWRlIjp7ImlzTWFudWFsbHlPdmVycmlkZGVuIjpmYWxzZSwiY2l0ZXByb2NUZXh0IjoiKEhhbGwsIDIwMjMpIiwibWFudWFsT3ZlcnJpZGVUZXh0IjoiIn0sImNpdGF0aW9uSXRlbXMiOlt7ImlkIjoiMjU1ZjkzZTgtYWJlMC0zYmYyLThjMmYtNjM0ZjVmYTc3MzZjIiwiaXRlbURhdGEiOnsidHlwZSI6IndlYnBhZ2UiLCJpZCI6IjI1NWY5M2U4LWFiZTAtM2JmMi04YzJmLTYzNGY1ZmE3NzM2YyIsInRpdGxlIjoiVGhlIFBvd2VyIG9mIFNldHRpbmcgR29hbHM6IE92ZXJjb21pbmcgQ2hhbGxlbmdlcyBhbmQgQWNoaWV2aW5nIFN1Y2Nlc3MiLCJhdXRob3IiOlt7ImZhbWlseSI6IkhhbGwiLCJnaXZlbiI6IkFhcm9uIiwicGFyc2UtbmFtZXMiOmZhbHNlLCJkcm9wcGluZy1wYXJ0aWNsZSI6IiIsIm5vbi1kcm9wcGluZy1wYXJ0aWNsZSI6IiJ9XSwiY29udGFpbmVyLXRpdGxlIjoiQWFyb24gSGFsbCBBdHRvcm5leSIsImFjY2Vzc2VkIjp7ImRhdGUtcGFydHMiOltbMjAyMywxMCwzMF1dfSwiVVJMIjoiaHR0cHM6Ly9hYXJvbmhhbGwuY29tL2luc2lnaHRzL3RoZS1wb3dlci1vZi1zZXR0aW5nLWdvYWxzLW92ZXJjb21pbmctY2hhbGxlbmdlcy1hbmQtYWNoaWV2aW5nLXN1Y2Nlc3MvIiwiaXNzdWVkIjp7ImRhdGUtcGFydHMiOltbMjAyM11dfSwiY29udGFpbmVyLXRpdGxlLXNob3J0IjoiIn0sImlzVGVtcG9yYXJ5IjpmYWxzZSwic3VwcHJlc3MtYXV0aG9yIjpmYWxzZSwiY29tcG9zaXRlIjpmYWxzZSwiYXV0aG9yLW9ubHkiOmZhbHNlfV19"/>
          <w:id w:val="-240709660"/>
          <w:placeholder>
            <w:docPart w:val="B867632B388E4826AA91965BAFD092B1"/>
          </w:placeholder>
        </w:sdtPr>
        <w:sdtContent>
          <w:r w:rsidRPr="009E5DBF">
            <w:rPr>
              <w:rFonts w:ascii="Book Antiqua" w:hAnsi="Book Antiqua"/>
              <w:color w:val="000000"/>
              <w:sz w:val="24"/>
              <w:szCs w:val="24"/>
              <w:lang w:val="sv-SE"/>
            </w:rPr>
            <w:t>(Hall, 2023)</w:t>
          </w:r>
        </w:sdtContent>
      </w:sdt>
      <w:r w:rsidRPr="009E5DBF">
        <w:rPr>
          <w:rFonts w:ascii="Book Antiqua" w:hAnsi="Book Antiqua"/>
          <w:sz w:val="24"/>
          <w:szCs w:val="24"/>
          <w:lang w:val="sv-SE"/>
        </w:rPr>
        <w:t xml:space="preserve">. Sebagai contoh, salah satu champion mengurangi pertentangan dengan menyoroti dukungan dari kepala puskesmas </w:t>
      </w:r>
      <w:r w:rsidRPr="009E5DBF">
        <w:rPr>
          <w:rFonts w:ascii="Book Antiqua" w:hAnsi="Book Antiqua"/>
          <w:color w:val="000000"/>
          <w:sz w:val="24"/>
          <w:szCs w:val="24"/>
          <w:lang w:val="sv-SE"/>
        </w:rPr>
        <w:fldChar w:fldCharType="begin" w:fldLock="1"/>
      </w:r>
      <w:r w:rsidRPr="009E5DBF">
        <w:rPr>
          <w:rFonts w:ascii="Book Antiqua" w:hAnsi="Book Antiqua"/>
          <w:color w:val="000000"/>
          <w:sz w:val="24"/>
          <w:szCs w:val="24"/>
          <w:lang w:val="sv-SE"/>
        </w:rPr>
        <w:instrText>ADDIN CSL_CITATION {"citationItems":[{"id":"ITEM-1","itemData":{"URL":"https://clickup.com/blog/communication-challenges-in-the-workplace/","accessed":{"date-parts":[["2024","6","24"]]},"author":[{"dropping-particle":"","family":"Srinivasan","given":"Praburam","non-dropping-particle":"","parse-names":false,"suffix":""}],"container-title":"ClickUp","id":"ITEM-1","issued":{"date-parts":[["2024","4","29"]]},"title":"Major Communication Challenges in the Workplace and How to Fix Them","type":"webpage"},"uris":["http://www.mendeley.com/documents/?uuid=8ed2ee52-bcf9-33e0-a3a5-6ce6f61c8589"]}],"mendeley":{"formattedCitation":"(Srinivasan, 2024)","plainTextFormattedCitation":"(Srinivasan, 2024)","previouslyFormattedCitation":"(Srinivasan, 2024)"},"properties":{"noteIndex":0},"schema":"https://github.com/citation-style-language/schema/raw/master/csl-citation.json"}</w:instrText>
      </w:r>
      <w:r w:rsidRPr="009E5DBF">
        <w:rPr>
          <w:rFonts w:ascii="Book Antiqua" w:hAnsi="Book Antiqua"/>
          <w:color w:val="000000"/>
          <w:sz w:val="24"/>
          <w:szCs w:val="24"/>
          <w:lang w:val="sv-SE"/>
        </w:rPr>
        <w:fldChar w:fldCharType="separate"/>
      </w:r>
      <w:r w:rsidRPr="009E5DBF">
        <w:rPr>
          <w:rFonts w:ascii="Book Antiqua" w:hAnsi="Book Antiqua"/>
          <w:noProof/>
          <w:color w:val="000000"/>
          <w:sz w:val="24"/>
          <w:szCs w:val="24"/>
          <w:lang w:val="sv-SE"/>
        </w:rPr>
        <w:t>(Srinivasan, 2024)</w:t>
      </w:r>
      <w:r w:rsidRPr="009E5DBF">
        <w:rPr>
          <w:rFonts w:ascii="Book Antiqua" w:hAnsi="Book Antiqua"/>
          <w:color w:val="000000"/>
          <w:sz w:val="24"/>
          <w:szCs w:val="24"/>
          <w:lang w:val="sv-SE"/>
        </w:rPr>
        <w:fldChar w:fldCharType="end"/>
      </w:r>
      <w:r w:rsidRPr="009E5DBF">
        <w:rPr>
          <w:rFonts w:ascii="Book Antiqua" w:hAnsi="Book Antiqua"/>
          <w:color w:val="000000"/>
          <w:sz w:val="24"/>
          <w:szCs w:val="24"/>
          <w:lang w:val="sv-SE"/>
        </w:rPr>
        <w:t>.</w:t>
      </w:r>
    </w:p>
    <w:p w14:paraId="2F9EC7C1"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"Hal ini memberikan Anda kekuatan untuk meredam segala hal negatif ketika Anda dapat mengatakan, 'Lihat, (Kepala Puskesmas) berpikir bahwa ini adalah sesuatu yang perlu kita lakukan dan ini penting.' Meskipun masih ada rintangan, secara umum, hal ini memberi Anda kemampuan untuk mengatasinya daripada membiarkannya menghentikan Anda, Anda tahu?" </w:t>
      </w:r>
      <w:bookmarkStart w:id="4" w:name="_Hlk170129229"/>
      <w:r w:rsidRPr="009E5DBF">
        <w:rPr>
          <w:rFonts w:ascii="Book Antiqua" w:hAnsi="Book Antiqua"/>
          <w:sz w:val="24"/>
          <w:szCs w:val="24"/>
          <w:lang w:val="sv-SE"/>
        </w:rPr>
        <w:t>(Champion, Lokasi 9)</w:t>
      </w:r>
    </w:p>
    <w:bookmarkEnd w:id="4"/>
    <w:p w14:paraId="79620B7B"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Data wawancara menunjukkan bahwa para champion memiliki otoritas informal di dua lokasi (lokasi 3 dan 9), selain di semua lokasi di mana mereka memegang kendali formal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{"citationItems":[{"id":"ITEM-1","itemData":{"author":[{"dropping-particle":"","family":"Dennis","given":"PhD","non-dropping-particle":"","parse-names":false,"suffix":""},{"dropping-particle":"","family":"Michelle","given":"Reina, PhD","non-dropping-particle":"","parse-names":false,"suffix":""}],"id":"ITEM-1","issued":{"date-parts":[["2024","6","15"]]},"title":"Why Leadership Trust Is Critical, Especially in Times of Change and Disruption","type":"webpage"},"uris":["http://www.mendeley.com/documents/?uuid=e762d7bf-5910-354c-83c3-61b1d5a93a73"]}],"mendeley":{"formattedCitation":"(Dennis &amp; Michelle, 2024)","plainTextFormattedCitation":"(Dennis &amp; Michelle, 2024)","previouslyFormattedCitation":"(Dennis &amp; Michelle,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(Dennis &amp; Michelle, 2024)</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Rekan kerja sangat menghargai dan secara implisit mempercayai mereka; beberapa di antaranya dikenal sebagai salah satu otoritas utama dalam hal kontrasepsi pascapersalinan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URL":"https://www.harvardbusiness.org/good-leadership-it-all-starts-with-trust/","author":[{"dropping-particle":"","family":"Lewis","given":"Abbey","non-dropping-particle":"","parse-names":false,"suffix":""}],"container-title":"Harvard Business Publishing","id":"ITEM-1","issued":{"date-parts":[["2022"]]},"title":"Good Leadership? It All Starts With Trust.","type":"webpage"},"uris":["http://www.mendeley.com/documents/?uuid=a8825e64-d31f-467a-b7df-33ca88a44515"]},{"id":"ITEM-2","itemData":{"URL":"https://aboutleaders.com/leadership-and-enthusiasm/","author":[{"dropping-particle":"","family":"Hopkin","given":"Michael","non-dropping-particle":"","parse-names":false,"suffix":""}],"container-title":"AboutLeaders","id":"ITEM-2","issued":{"date-parts":[["2024"]]},"title":"Leadership Enthusiasm: The Right Attitude","type":"webpage"},"uris":["http://www.mendeley.com/documents/?uuid=49554579-e85f-4209-b0bc-8f8389e57785"]}],"mendeley":{"formattedCitation":"(Hopkin, 2024; Lewis, 2022)","plainTextFormattedCitation":"(Hopkin, 2024; Lewis, 2022)","previouslyFormattedCitation":"(Hopkin, 2024; Lewis,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(Hopkin, 2024; Lewis, 2022)</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Banyak dari mereka yang dilatih di puskesmas atau telah bekerja di sana untuk waktu yang lama. Para champion ini mampu mempengaruhi sikap dan tindakan orang dengan mudah dan membujuk rekan-rekannya untuk mendukung perubahan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URL":"https://www.govloop.com/community/blog/enthusiasm-as-a-strategy-igniting-success-through-passionate-leadership/","author":[{"dropping-particle":"","family":"Wilson","given":"Brian","non-dropping-particle":"","parse-names":false,"suffix":""}],"container-title":"govloop","id":"ITEM-1","issued":{"date-parts":[["2023"]]},"title":"Enthusiasm as a Strategy: Igniting Success Through Passionate Leadership","type":"webpage"},"uris":["http://www.mendeley.com/documents/?uuid=99bedbb1-a61f-4874-9420-16e81e3bab62"]}],"mendeley":{"formattedCitation":"(Wilson, 2023)","plainTextFormattedCitation":"(Wilson, 2023)","previouslyFormattedCitation":"(Wilson, 2023)"},"properties":{"noteIndex":0},"schema":"https://github.com/citation-style-language/schema/raw/master/csl-citation.json"}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(Wilson, 2023)</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415F5BC1"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orang-orang sangat mudah percaya dengan apa yang dikatakannya, dan kami mempercayainya." (Dokter Senior, Lokasi 9)</w:t>
      </w:r>
    </w:p>
    <w:p w14:paraId="024FCE83"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kami semua tahu bahwa ketika (Champion) bersemangat, kami juga harus bersemangat." (Residen, Lokasi 4)</w:t>
      </w:r>
    </w:p>
    <w:p w14:paraId="4AB2316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Bentuk dampak ketiga adalah pemahaman kelembagaan, karena para champion mengatasi penolakan pemangku kepentingan dengan secara alami menavigasi arsitektur sosial dan budaya organisasi mereka (lokasi 2, 3, 4, 5, 6, 7, </w:t>
      </w:r>
      <w:r w:rsidRPr="009E5DBF">
        <w:rPr>
          <w:rFonts w:ascii="Book Antiqua" w:hAnsi="Book Antiqua"/>
          <w:sz w:val="24"/>
          <w:szCs w:val="24"/>
          <w:lang w:val="sv-SE"/>
        </w:rPr>
        <w:lastRenderedPageBreak/>
        <w:t xml:space="preserve">dan 10). Mereka menggunakan koneksi pribadi mereka untuk melibatkan rekan kerja yang mereka tahu kemungkinan besar akan menolak rencana tersebut. Seorang apoteker mengatakan tentang bagaimana persahabatannya selama sepuluh tahun dengan champion di lokasi tersebut mengatasi keraguan awalnya tentang inisiatif ini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{"citationItems":[{"id":"ITEM-1","itemData":{"DOI":"10.1186/s13012-020-01024-9","ISBN":"1301202001024","ISSN":"17485908","PMID":"32762726","abstract":"Background: Research to date has focused on strategies and resources used by effective champions of healthcare change efforts, rather than personal characteristics that contribute to their success. We sought to identify and describe champion attributes influencing outcomes of healthcare change efforts. To examine attributes of champions, we used postpartum contraceptive care as a case study, because recommended services are largely unavailable, and implementation requires significant effort. Methods: We conducted a comparative case study of the implementation of inpatient postpartum contraceptive care at 11 U.S. maternity hospitals in 2017-18. We conducted site visits that included semi-structured key informant interviews informed by the Consolidated Framework for Implementation Research (CFIR). Phase one analysis (qualitative content analysis using a priori CFIR codes and cross-case synthesis) showed that implementation leaders (\"champions\") strongly influenced outcomes across sites. To understand champion effects, phase two inductive analysis included (1) identifying and elaborating key attributes of champions; (2) rating the presence or absence of each attribute in champions; and 3) cross-case synthesis to identify patterns among attributes, context, and implementation outcomes. Results: We completed semi-structured interviews with 78 clinicians, nurses, residents, pharmacy and revenue cycle staff, and hospital administrators. All identified champions were obstetrician-gynecologists. Six key attributes of champions emerged: influence, ownership, physical presence at the point of change, persuasiveness, grit, and participative leadership style. These attributes promoted success by enabling champions to overcome institutional siloing, build and leverage professional networks, create tension for change, cultivate a positive learning climate, optimize compatibility with existing workflow, and engage key stakeholders. Not all champion attributes were required for success, and having all attributes did not guarantee success. Conclusions: Effective champions appear to leverage six key attributes to facilitate healthcare change efforts. Prospective evaluations of the interactions among champion attributes, context, and outcomes may further elucidate how champions exert their effects.","author":[{"dropping-particle":"","family":"Bonawitz","given":"Kirsten","non-dropping-particle":"","parse-names":false,"suffix":""},{"dropping-particle":"","family":"Wetmore","given":"Marisa","non-dropping-particle":"","parse-names":false,"suffix":""},{"dropping-particle":"","family":"Heisler","given":"Michele","non-dropping-particle":"","parse-names":false,"suffix":""},{"dropping-particle":"","family":"Dalton","given":"Vanessa K.","non-dropping-particle":"","parse-names":false,"suffix":""},{"dropping-particle":"","family":"Damschroder","given":"Laura J.","non-dropping-particle":"","parse-names":false,"suffix":""},{"dropping-particle":"","family":"Forman","given":"Jane","non-dropping-particle":"","parse-names":false,"suffix":""},{"dropping-particle":"","family":"Allan","given":"Katie R.","non-dropping-particle":"","parse-names":false,"suffix":""},{"dropping-particle":"","family":"Moniz","given":"Michelle H.","non-dropping-particle":"","parse-names":false,"suffix":""}],"container-title":"Implementation Science","id":"ITEM-1","issue":"1","issued":{"date-parts":[["2020"]]},"page":"1-10","publisher":"Implementation Science","title":"Champions in context: Which attributes matter for change efforts in healthcare?","type":"article-journal","volume":"15"},"uris":["http://www.mendeley.com/documents/?uuid=5cd88181-9567-4e1d-a811-f48d2feca516"]}],"mendeley":{"formattedCitation":"(Bonawitz et al., 2020)","plainTextFormattedCitation":"(Bonawitz et al., 2020)","previouslyFormattedCitation":"(Bonawitz et al., 2020)"},"properties":{"noteIndex":0},"schema":"https://github.com/citation-style-language/schema/raw/master/csl-citation.json"}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(Bonawitz et al., 2020)</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311F51DC"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"Saya tidak terlalu tertarik untuk melakukan sesuatu yang merugikan. Namun, setelah bekerja dengan (Champion) begitu lama, sepertinya ketika dia memintanya, kami setuju untuk memenuhi permintaannya. Ini membuat saya merasa bahwa meluangkan waktu untuk proposisi yang merugikan adalah keputusan yang dapat dipertimbangkan." (Apoteker, Lokasi 4)</w:t>
      </w:r>
    </w:p>
    <w:p w14:paraId="199429E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Selama bertahun-tahun, seorang champion (lokasi 8) yang tidak memiliki kekuatan berjuang untuk menempatkan layanan pada tempatnya. Pada akhirnya, ia bekerja sama dengan seorang manajer proyek berpengalaman yang memiliki ketajaman institusional dan otoritas informal. Agar berhasil mengintegrasikan layanan baru, manajer proyek membantu champion dalam mengatasi resistensi, membina kolaborasi, dan membangun kemitraan lintas bidang. Layanan IUD tidak dilaksanakan oleh champion lain yang kurang berpengaruh (lokasi 11). Resistensi terhadap manajer puskesmas mencegahnya untuk menggunakan kuasa dan tidak memiliki otoritas formal. Kepala departemen dan kepala petugas medis (CMO) tidak yakin akan keamanan alat kontrasepsi dalam rahim (AKDR) yang digunakan pada pasien pascapersalinan, meskipun sang champion telah berulang kali berusaha untuk meyakinkan mereka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URL":"https://theconsciousvibe.com/overcoming-stagnation-strategies-for-breaking-free-from-lifes-standstills/","author":[{"dropping-particle":"","family":"Vibe","given":"Conscious","non-dropping-particle":"","parse-names":false,"suffix":""}],"container-title":"Conscious Vibe","id":"ITEM-1","issued":{"date-parts":[["2023"]]},"title":"Overcoming Stagnation: Strategies For Breaking Free From Life’s Standstills","type":"webpage"},"uris":["http://www.mendeley.com/documents/?uuid=03c52dd9-96cd-45e9-9851-bc34ebe06c3b"]}],"mendeley":{"formattedCitation":"(Vibe, 2023)","plainTextFormattedCitation":"(Vibe, 2023)","previouslyFormattedCitation":"(Vibe, 2023)"},"properties":{"noteIndex":0},"schema":"https://github.com/citation-style-language/schema/raw/master/csl-citation.json"}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(Vibe, 2023)</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64197476"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“Dan itu tidak pernah terjadi. Saya tidak pernah mendengar kabar dari salah satu dari mereka, dan saya merasa terjebak, tidak dapat melanjutkan hidup karena saya tidak yakin apakah itu akan diterima.” (Champion, Lokasi 11)</w:t>
      </w:r>
    </w:p>
    <w:p w14:paraId="3F95CD60"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Tokoh ini tidak begitu lihai secara institusional seperti tokoh-tokoh penting lainnya, dan waktunya di lokasi sangat singkat. Meskipun pemimpin opini yang lebih berpengaruh seperti CMO menentangnya, ia tetap dipandang sebagai otoritas dalam hal pengobatan kontrasepsi.</w:t>
      </w:r>
    </w:p>
    <w:p w14:paraId="0C84D9D1" w14:textId="77777777" w:rsidR="009E5DBF" w:rsidRPr="009E5DBF" w:rsidRDefault="009E5DBF" w:rsidP="009E5DBF">
      <w:pPr>
        <w:ind w:firstLine="567"/>
        <w:jc w:val="both"/>
        <w:rPr>
          <w:rFonts w:ascii="Book Antiqua" w:hAnsi="Book Antiqua"/>
          <w:sz w:val="24"/>
          <w:szCs w:val="24"/>
          <w:lang w:val="sv-SE"/>
        </w:rPr>
      </w:pPr>
    </w:p>
    <w:p w14:paraId="70F4B509"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Kepemilikan</w:t>
      </w:r>
    </w:p>
    <w:p w14:paraId="76D22050"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Waktu yang dibutuhkan untuk mencapai tujuan implementasi diprioritaskan dan didedikasikan oleh para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menerima tanggung jawab pribadi atas keberhasilan usaha tersebut. Para champion mengasumsikan kepemimpinan implementasi melalui inisiatif sendiri dan motivasi intrinsik di semua puskesmas yang berhasil, alih-alih dimandatkan oleh lembaga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{"citationItems":[{"id":"ITEM-1","itemData":{"DOI":"10.1136/bmjsrh-2022-201579","ISSN":"25152009","PMID":"36600467","abstract":"Background Intrauterine devices (IUDs) are highly effective contraception. IUDs inserted directly following delivery provide immediate birth control and may decrease unintended pregnancies, including short-interval pregnancies, thereby mitigating health risks and associated economic burden. Methods This systematic literature review included published global data on the utilisation, effectiveness, and safety of postpartum intrauterine devices (PPIUDs) of any type. English language articles indexed in MEDLINE, Embase, and Cochrane from January 2010-October 2021 were included. Results 133 articles met the inclusion criteria (46% interventional studies; 54% observational; n=87 from lower-income countries; n=46 from higher-income countries). PPIUD use was low in higher-income countries (6/10 000 US deliveries in 2013-2016) and varied widely in lower-income countries (2%-46%). Across both higher- and lower-income countries, in most studies (79%), &gt;80% of women with PPIUDs had an IUD in place by 3 months; at 6 and 12 months, 76% and 54% of included studies reported that &gt;80% of women had an IUD in place; reason for discontinuation was infrequently reported. Pregnancies were rare (96 pregnancies across 12 191 women from 37 studies reporting data) and were generally unrelated to device failure, but rather occurred in women no longer using a PPIUD. Expulsions occurred mainly in the early outpatient period and ranged widely (within 3 months: 0-41%). Abnormal bleeding, infections, or perforations were rare. Conclusions PPIUDs are safe and effective. Long-term follow-up data are limited. Future research elucidating reasons underlying lack of PPIUD use is warranted.","author":[{"dropping-particle":"","family":"Rosa Bolling","given":"Kristina","non-dropping-particle":"","parse-names":false,"suffix":""},{"dropping-particle":"","family":"Wahdan","given":"Yesmean","non-dropping-particle":"","parse-names":false,"suffix":""},{"dropping-particle":"","family":"Warnock","given":"Neal","non-dropping-particle":"","parse-names":false,"suffix":""},{"dropping-particle":"","family":"Lott","given":"Jason","non-dropping-particle":"","parse-names":false,"suffix":""},{"dropping-particle":"","family":"Schoendorf","given":"Juliane","non-dropping-particle":"","parse-names":false,"suffix":""},{"dropping-particle":"","family":"Pisa","given":"Federica","non-dropping-particle":"","parse-names":false,"suffix":""},{"dropping-particle":"","family":"Gomez-Espinosa","given":"Evelyn","non-dropping-particle":"","parse-names":false,"suffix":""},{"dropping-particle":"","family":"Kistler","given":"Kristin","non-dropping-particle":"","parse-names":false,"suffix":""},{"dropping-particle":"","family":"Maiese","given":"Brett","non-dropping-particle":"","parse-names":false,"suffix":""}],"container-title":"BMJ Sexual and Reproductive Health","id":"ITEM-1","issue":"2","issued":{"date-parts":[["2023"]]},"page":"E1","title":"Utilisation, effectiveness, and safety of immediate postpartum intrauterine device insertion: A systematic literature review","type":"article-journal","volume":"49"},"uris":["http://www.mendeley.com/documents/?uuid=182fe553-874e-4bb8-967d-a7cffbeefc5b"]}],"mendeley":{"formattedCitation":"(Rosa Bolling et al., 2023)","plainTextFormattedCitation":"(Rosa Bolling et al., 2023)","previouslyFormattedCitation":"(Rosa Bolling et al., 2023)"},"properties":{"noteIndex":0},"schema":"https://github.com/citation-style-language/schema/raw/master/csl-citation.json"}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(Rosa Bolling et al., 2023)</w:t>
      </w:r>
      <w:r w:rsidRPr="009E5DBF">
        <w:rPr>
          <w:rFonts w:ascii="Book Antiqua" w:hAnsi="Book Antiqua"/>
          <w:sz w:val="24"/>
          <w:szCs w:val="24"/>
          <w:lang w:val="sv-SE"/>
        </w:rPr>
        <w:fldChar w:fldCharType="end"/>
      </w:r>
      <w:r w:rsidRPr="009E5DBF">
        <w:rPr>
          <w:rFonts w:ascii="Book Antiqua" w:hAnsi="Book Antiqua"/>
          <w:sz w:val="24"/>
          <w:szCs w:val="24"/>
          <w:lang w:val="sv-SE"/>
        </w:rPr>
        <w:t>.</w:t>
      </w:r>
    </w:p>
    <w:p w14:paraId="762E9B9D"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"...memiliki program IUD pascapersalinan adalah salah satu hal yang saya putuskan untuk dilakukan di sini, dan saya percaya bahwa yang perlu dilakukan adalah bertanya kepada orang lain, 'Apakah ada alasan mengapa kita tidak melakukan hal ini?'" (Champion, Lokasi 1)</w:t>
      </w:r>
    </w:p>
    <w:p w14:paraId="7514CE4B"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Para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mengambil alih tanggung jawab menunjukkan rasa identitas yang kuat dengan posisi mereka, dedikasi untuk memelopori implementasi, dan kapasitas untuk mempengaruhi perilaku orang lain. Para champion ini sering kali memberikan tugas-tugas implementasi </w:t>
      </w:r>
      <w:proofErr w:type="gramStart"/>
      <w:r w:rsidRPr="009E5DBF">
        <w:rPr>
          <w:rFonts w:ascii="Book Antiqua" w:hAnsi="Book Antiqua"/>
          <w:sz w:val="24"/>
          <w:szCs w:val="24"/>
          <w:lang w:val="sv-SE"/>
        </w:rPr>
        <w:t>yang luar</w:t>
      </w:r>
      <w:proofErr w:type="gramEnd"/>
      <w:r w:rsidRPr="009E5DBF">
        <w:rPr>
          <w:rFonts w:ascii="Book Antiqua" w:hAnsi="Book Antiqua"/>
          <w:sz w:val="24"/>
          <w:szCs w:val="24"/>
          <w:lang w:val="sv-SE"/>
        </w:rPr>
        <w:t xml:space="preserve"> biasa dari waktu mereka sendiri. Mereka berbicara tentang bekerja di luar tugas klinis mereka yang sering kali menuntut mereka untuk bekerja di malam hari dan akhir </w:t>
      </w:r>
      <w:r w:rsidRPr="009E5DBF">
        <w:rPr>
          <w:rFonts w:ascii="Book Antiqua" w:hAnsi="Book Antiqua"/>
          <w:sz w:val="24"/>
          <w:szCs w:val="24"/>
          <w:lang w:val="sv-SE"/>
        </w:rPr>
        <w:lastRenderedPageBreak/>
        <w:t>pekan. Ketika proses pemberian layanan dimulai, beberapa menawarkan akses 24 jam ke ponsel pribadi mereka untuk menjawab pertanyaan. Di sisi lain, pimpinan puskesmas telah menugaskan champion di lokasi di mana implementasi telah gagal untuk memimpin. Champion ini mengatakan bahwa ia secara pribadi tidak memprioritaskan penggunaan IUD pascapersalinan karena ia lebih tertarik dengan peran administratif lainnya.</w:t>
      </w:r>
    </w:p>
    <w:p w14:paraId="3A3B019E"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"Agar bisa tulus dengan Anda... Pasca persalinan [IUD] bukanlah perhatian utama saya. Sejujurnya, saya percaya bahwa orang lain seharusnya memimpin dalam hal ini. Bukan karena saya tidak mau atau tidak berpikir itu ide yang bagus; saya hanya berpikir bahwa jika saya melakukannya, hal itu tidak akan terjadi." (Champion, Lokasi 11)</w:t>
      </w:r>
    </w:p>
    <w:p w14:paraId="04B9D34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Kurangnya rasa memiliki dan tuntutan kompetisi terhadap waktunya membuat upayanya dalam mengadvokasi menjadi sia-sia. Hal ini juga membuat para champion lainnya tidak dapat berkembang karena tidak ada rasa kepemilikan. Meskipun mereka enggan untuk melangkahi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telah ditunjuk, dua dokter lain di puskesmas tersebut menyatakan bahwa mereka akan dengan senang hati mempelopori proyek ini.</w:t>
      </w:r>
    </w:p>
    <w:p w14:paraId="67EC270F" w14:textId="77777777" w:rsidR="009E5DBF" w:rsidRPr="009E5DBF" w:rsidRDefault="009E5DBF" w:rsidP="009E5DBF">
      <w:pPr>
        <w:ind w:firstLine="567"/>
        <w:jc w:val="both"/>
        <w:rPr>
          <w:rFonts w:ascii="Book Antiqua" w:hAnsi="Book Antiqua"/>
          <w:sz w:val="24"/>
          <w:szCs w:val="24"/>
          <w:lang w:val="sv-SE"/>
        </w:rPr>
      </w:pPr>
    </w:p>
    <w:p w14:paraId="69A34E7A"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Kehadiran pada titik perubahan</w:t>
      </w:r>
    </w:p>
    <w:p w14:paraId="39068AF8"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Banyak pewawancara menekankan nilai dari memiliki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bekerja secara langsung di unit bersalin. Para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secara fisik berada di garis depan dalam pemberian layanan klinis sangat memahami rutinitas dan budaya sehari-hari di unit tersebut. Para champion mampu memecahkan kesulitan alur kerja baru (seperti mengoptimalkan kompatibilitas) dan berhasil memasukkan layanan IUD ke dalam prosedur pemberian layanan saat ini berkat status mereka yang sudah melekat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{"citationItems":[{"id":"ITEM-1","itemData":{"URL":"https://link.springer.com/chapter/10.1007/978-3-030-17816-1_8","abstract":"Many resources exist on how to optimize IUD service delivery and guide clinics in developing IUD programs and training providers. Implementing IUD services will go more smoothly if all stakeholders are involved and all clinic staff members are operating at their highest skill level. Clinics can streamline access to adolescents’ and young adults’ preferred method by optimizing clinic-wide training in IUD counseling, skills, and clinic flow. Having a standardized approach to IUD insertion and removal procedures, which takes into account both the behavioral components and cognitive reasoning for these, helps providers to improve standard IUD provision for adolescents and young adults, and to work through complications if they arise. This chapter will help readers to identify initial steps to establish readiness for introducing IUD services into an adolescent and young adult practice, as well as how to access proctoring supervision in order to successfully insert and remove IUDs. Detailed steps for IUD set-up, placement, and removal are outlined, along with guidelines on compiling supplies and materials necessary for IUD procedures.","author":[{"dropping-particle":"","family":"Bachrach","given":"Lela R.","non-dropping-particle":"","parse-names":false,"suffix":""},{"dropping-particle":"","family":"Goodman","given":"Suzan","non-dropping-particle":"","parse-names":false,"suffix":""}],"container-title":"SPRINGER LINK","id":"ITEM-1","issued":{"date-parts":[["2019"]]},"title":"Integrating IUD Provision into Your Practice: Site Preparedness, Staff Training, and Procedural Steps","type":"webpage"},"uris":["http://www.mendeley.com/documents/?uuid=b6cd6b40-ec1a-493d-93a0-e3edfc2f08a0"]},{"id":"ITEM-2","itemData":{"author":[{"dropping-particle":"","family":"Bhatia","given":"Parminder","non-dropping-particle":"","parse-names":false,"suffix":""},{"dropping-particle":"","family":"Officer","given":"Chief AI","non-dropping-particle":"","parse-names":false,"suffix":""},{"dropping-particle":"","family":"HealthCare","given":"GE","non-dropping-particle":"","parse-names":false,"suffix":""}],"container-title":"GE HealthCare","id":"ITEM-2","issued":{"date-parts":[["2024"]]},"title":"Transforming clinical workflows: AI unveils novel patient insights","type":"article-journal"},"uris":["http://www.mendeley.com/documents/?uuid=36252dee-5323-4de7-9140-d1521e942a4b"]}],"mendeley":{"formattedCitation":"(Bachrach &amp; Goodman, 2019; Bhatia et al., 2024)","plainTextFormattedCitation":"(Bachrach &amp; Goodman, 2019; Bhatia et al., 2024)","previouslyFormattedCitation":"(Bachrach &amp; Goodman, 2019; Bhatia et al., 2024)"},"properties":{"noteIndex":0},"schema":"https://github.com/citation-style-language/schema/raw/master/csl-citation.json"}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(Bachrach &amp; Goodman, 2019; Bhatia et al., 2024)</w:t>
      </w:r>
      <w:r w:rsidRPr="009E5DBF">
        <w:rPr>
          <w:rFonts w:ascii="Book Antiqua" w:hAnsi="Book Antiqua"/>
          <w:sz w:val="24"/>
          <w:szCs w:val="24"/>
          <w:lang w:val="sv-SE"/>
        </w:rPr>
        <w:fldChar w:fldCharType="end"/>
      </w:r>
      <w:r w:rsidRPr="009E5DBF">
        <w:rPr>
          <w:rFonts w:ascii="Book Antiqua" w:hAnsi="Book Antiqua"/>
          <w:sz w:val="24"/>
          <w:szCs w:val="24"/>
          <w:lang w:val="sv-SE"/>
        </w:rPr>
        <w:t>. Mereka dapat membuat para dokter di garis depan tetap tertarik dan dengan mudah menawarkan informasi yang mereka butuhkan. Salah satu champion di suatu lokasi menjelaskan mengapa sangat penting baginya dan pasangannya untuk diintegrasikan ke dalam unit bersalin.</w:t>
      </w:r>
    </w:p>
    <w:p w14:paraId="4B0E0E1B"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"Memiliki seseorang yang hadir secara fisik untuk menyaksikan tantangan sehari-hari dalam menyediakan layanan dalam lingkungan ini sangat penting bagi keberhasilan upaya ini, dan bantuan mereka sangat berharga." Mereka sangat sukses dalam memenangkan hati orang-orang karena mereka mengenal semua orang. (Dokter Senior, Lokasi 10)</w:t>
      </w:r>
    </w:p>
    <w:p w14:paraId="753FFC9E"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Kehadiran champion di unit bersalin juga berfungsi untuk meningkatkan kesadaran akan upaya ini dan meminta rekan kerja bertanggung jawab untuk menerapkan alur kerja yang baru (misalnya, menggunakan set pesanan baru atau elemen dokumentasi elektronik). Para champion menyampaikan "Saya ada di sini jika Anda membutuhkan saya" dan "Saya mengawasi Anda" dengan hadir pada saat transisi. Meskipun tidak sering bekerja di unit bersalin, salah satu champion meminta bantuan seorang generalis untuk ikut memimpin proyek implementasi bersamanya karena ia melihat perlunya kehadiran yang lebih konsisten di sana.</w:t>
      </w:r>
    </w:p>
    <w:p w14:paraId="32CB3F4C"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Champion di lokasi yang tidak memiliki layanan yang dilembagakan adalah petugas keluarga berencana yang tidak dipekerjakan oleh unit bersalin. Program ini telah "tersingkir," menurut narasumber yang diwawancarai, yang mengakui bahwa tidak adanya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tertanam merupakan kesempatan yang </w:t>
      </w:r>
      <w:r w:rsidRPr="009E5DBF">
        <w:rPr>
          <w:rFonts w:ascii="Book Antiqua" w:hAnsi="Book Antiqua"/>
          <w:sz w:val="24"/>
          <w:szCs w:val="24"/>
          <w:lang w:val="sv-SE"/>
        </w:rPr>
        <w:lastRenderedPageBreak/>
        <w:t>hilang untuk meningkatkan prioritas dan eksposur relatif dari upaya ini (Administrator puskesmas, Lokasi 11).</w:t>
      </w:r>
    </w:p>
    <w:p w14:paraId="785FC13B" w14:textId="77777777" w:rsidR="009E5DBF" w:rsidRPr="009E5DBF" w:rsidRDefault="009E5DBF" w:rsidP="009E5DBF">
      <w:pPr>
        <w:ind w:firstLine="567"/>
        <w:jc w:val="both"/>
        <w:rPr>
          <w:rFonts w:ascii="Book Antiqua" w:hAnsi="Book Antiqua"/>
          <w:sz w:val="24"/>
          <w:szCs w:val="24"/>
          <w:lang w:val="sv-SE"/>
        </w:rPr>
      </w:pPr>
    </w:p>
    <w:p w14:paraId="3A4810DD"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Ketekunan</w:t>
      </w:r>
    </w:p>
    <w:p w14:paraId="79BBC859"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Para Champion berhasil mengatasi rintangan karena ketekunan dan keuletan mereka. Para Champion menunjukkan ketekunan di enam tempat (lokasi 3, 4, 5, 6, 8, dan 10) meskipun menghadapi berbagai rintangan yang berulang. Salah satu Champion, misalnya, menyoroti bagaimana ketekunannya pada akhirnya mengatasi hambatan dengan menggambarkan pekerjaan yang diperlukan untuk membujuk rekan-rekan apotekernya untuk membawa alat kontrasepsi untuk penyediaan pascapersalinan.</w:t>
      </w:r>
    </w:p>
    <w:p w14:paraId="3401E4E9"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"Bahkan setelah melalui banyak penderitaan dan kebosanan, masih ada banyak rintangan yang bertanya, 'Nah, di mana perangkat ini akan disimpan?" Oke, jadi mengapa mereka tidak bisa dikirim dan disimpan di toko obat? Baiklah, mungkin. Yah, tidak ada cukup ruang untuk persalinan dan persalinan. Kurasa kita bisa mendapatkan Pyxis baru. Bagaimanapun, aku tidak yakin apakah ada cukup ruang untuk menaruhnya di sana. Kemudian, topik tentang bagaimana orang kehilangan uang karena pasien dirawat sebagai pasien rawat inap dan bukan rawat jalan muncul lagi. Kami memiliki skenario uji coba di mana saya diizinkan untuk mengambil alat </w:t>
      </w:r>
      <w:proofErr w:type="gramStart"/>
      <w:r w:rsidRPr="009E5DBF">
        <w:rPr>
          <w:rFonts w:ascii="Book Antiqua" w:hAnsi="Book Antiqua"/>
          <w:sz w:val="24"/>
          <w:szCs w:val="24"/>
          <w:lang w:val="sv-SE"/>
        </w:rPr>
        <w:t>dari klinik</w:t>
      </w:r>
      <w:proofErr w:type="gramEnd"/>
      <w:r w:rsidRPr="009E5DBF">
        <w:rPr>
          <w:rFonts w:ascii="Book Antiqua" w:hAnsi="Book Antiqua"/>
          <w:sz w:val="24"/>
          <w:szCs w:val="24"/>
          <w:lang w:val="sv-SE"/>
        </w:rPr>
        <w:t>, menanamkannya pada pasien pascapersalinan, dan menagihnya... hanya untuk memeriksa apakah mereka benar-benar akan membayarnya... Atas dasar itu, kami kemudian membuat anggaran yang besar, yang harus disetujui oleh komite rumah sakit dan komite farmasi. Namun, mereka menolaknya, dengan alasan bahwa seharusnya hanya dua orang staf rumah sakit yang bisa memesan alat tersebut, dan itu tidak praktis. Namun, kami akhirnya menemukan beberapa ide alternatif, dan akhirnya mereka memberikan persetujuan..." (Champion, Lokasi 8)</w:t>
      </w:r>
    </w:p>
    <w:p w14:paraId="47B78BBF"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Kisah serupa tentang rintangan kelembagaan yang membutuhkan kegigihan terus-menerus untuk mengatasinya ditemukan di beberapa daerah. Para pemenang yang penuh ketabahan menunjukkan energi, kelincahan, dan sumber daya </w:t>
      </w:r>
      <w:proofErr w:type="gramStart"/>
      <w:r w:rsidRPr="009E5DBF">
        <w:rPr>
          <w:rFonts w:ascii="Book Antiqua" w:hAnsi="Book Antiqua"/>
          <w:sz w:val="24"/>
          <w:szCs w:val="24"/>
          <w:lang w:val="sv-SE"/>
        </w:rPr>
        <w:t>yang luar</w:t>
      </w:r>
      <w:proofErr w:type="gramEnd"/>
      <w:r w:rsidRPr="009E5DBF">
        <w:rPr>
          <w:rFonts w:ascii="Book Antiqua" w:hAnsi="Book Antiqua"/>
          <w:sz w:val="24"/>
          <w:szCs w:val="24"/>
          <w:lang w:val="sv-SE"/>
        </w:rPr>
        <w:t xml:space="preserve"> biasa dalam mengatasi rintangan demi rintangan. Para pemenang ini dicirikan sebagai orang-orang yang tak kenal menyerah.</w:t>
      </w:r>
    </w:p>
    <w:p w14:paraId="6778F4B4"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"Di setiap tingkatan, termasuk tingkat penagihan dan farmasi - semua hal kecil yang tidak terlalu Anda pertimbangkan saat memulai program seperti ini - [Champion] harus melalui banyak tantangan. Ia memiliki banyak hal yang harus diselesaikan. Satu-satunya perhatiannya adalah menyelesaikannya." (Residen, Lokasi 8)</w:t>
      </w:r>
    </w:p>
    <w:p w14:paraId="265080D3"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Sang Champion di lokasi yang tidak rutin merasa terbebani oleh kompleksitas dan volume tenaga kerja yang dibutuhkan oleh inisiatif ini. Rekan-rekannya berpikir bahwa ia terlalu lelah untuk bekerja lebih keras dan melampaui rintangan.</w:t>
      </w:r>
    </w:p>
    <w:p w14:paraId="796AD38C"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"Tidak diragukan lagi, ada banyak orang yang menyadari hal ini dan sudah mencoba melakukannya selama beberapa waktu. Lebih jauh lagi, saya kira, ada rasa lelah yang muncul saat Anda meminta sesuatu berulang-ulang dan Anda terus mencoba-mencoba, mencoba dan mencoba selama bertahun-tahun untuk mewujudkannya, tetapi rasanya tidak ada hasilnya. Saya percaya bahwa sebagian </w:t>
      </w:r>
      <w:r w:rsidRPr="009E5DBF">
        <w:rPr>
          <w:rFonts w:ascii="Book Antiqua" w:hAnsi="Book Antiqua"/>
          <w:sz w:val="24"/>
          <w:szCs w:val="24"/>
          <w:lang w:val="sv-SE"/>
        </w:rPr>
        <w:lastRenderedPageBreak/>
        <w:t>dari mereka juga merasa seperti ini. Berapa kali, kira-kira, Anda bisa melompati rintangan dan bertanya?” (Dokter Senior, Lokasi 11)</w:t>
      </w:r>
    </w:p>
    <w:p w14:paraId="4D134C37" w14:textId="77777777" w:rsidR="009E5DBF" w:rsidRPr="009E5DBF" w:rsidRDefault="009E5DBF" w:rsidP="009E5DBF">
      <w:pPr>
        <w:ind w:firstLine="567"/>
        <w:jc w:val="both"/>
        <w:rPr>
          <w:rFonts w:ascii="Book Antiqua" w:hAnsi="Book Antiqua"/>
          <w:sz w:val="24"/>
          <w:szCs w:val="24"/>
          <w:lang w:val="sv-SE"/>
        </w:rPr>
      </w:pPr>
    </w:p>
    <w:p w14:paraId="1242AB35"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 xml:space="preserve">Persuasif  </w:t>
      </w:r>
    </w:p>
    <w:p w14:paraId="22AEC1C9"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Banyak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merupakan pembicara yang sangat baik. Mereka dipuji karena memotivasi dan karena kemampuan mereka untuk secara otentik menggairahkan berbagai kelompok organisasi tentang upaya tersebut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{"citationItems":[{"id":"ITEM-1","itemData":{"DOI":"10.3389/frhs.2022.896885","ISSN":"28130146","abstract":"Background: The clinical champion approach is a highly utilized implementation strategy used to mitigate barriers and improve outcomes of implementation efforts. Clinical champions are particularly effective at addressing provider-level barriers and promoting provider-behavior change. Yet, the specific causal pathways that explain how clinical champions impact provider behavior change have not been well-explicated. The current paper applies behavior change models to develop potential causal pathway mechanisms. Methods: The proposed mechanisms are informed by previous literature involving clinical champions and empirically supported behavior change models. These models are applied to link specific attributes to different stages of behavior change and barriers for providers. Results: Two unique pathway mechanisms were developed, one that explicates how providers develop intention to use EBPs, while the other explicates how providers transition to EBP use and sustainment. Clinical champions may promote intention development through behavioral modeling and peer buy-in. In contrast, champions promote behavioral enactment through skill building and peer mentorship. Conclusion: Clinical champions likely play a critical role in reducing provider implementation barriers for providers across various phases of behavior change. The proposed pathways provide potential explanations for how clinical champions promote provider behavior change. Future research should prioritize empirically testing causal pathway mechanisms.","author":[{"dropping-particle":"","family":"Morena","given":"Alexandra L.","non-dropping-particle":"","parse-names":false,"suffix":""},{"dropping-particle":"","family":"Gaias","given":"Larissa M.","non-dropping-particle":"","parse-names":false,"suffix":""},{"dropping-particle":"","family":"Larkin","given":"Celine","non-dropping-particle":"","parse-names":false,"suffix":""}],"container-title":"Frontiers in Health Services","id":"ITEM-1","issue":"July","issued":{"date-parts":[["2022"]]},"page":"1-14","title":"Understanding the Role of Clinical Champions and Their Impact on Clinician Behavior Change: The Need for Causal Pathway Mechanisms","type":"article-journal","volume":"2"},"uris":["http://www.mendeley.com/documents/?uuid=73bf78cf-580b-4697-a146-fb90ff70c93f"]}],"mendeley":{"formattedCitation":"(Morena et al., 2022)","plainTextFormattedCitation":"(Morena et al., 2022)","previouslyFormattedCitation":"(Morena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(Morena et al., 2022)</w:t>
      </w:r>
      <w:r w:rsidRPr="009E5DBF">
        <w:rPr>
          <w:rFonts w:ascii="Book Antiqua" w:hAnsi="Book Antiqua"/>
          <w:sz w:val="24"/>
          <w:szCs w:val="24"/>
          <w:lang w:val="sv-SE"/>
        </w:rPr>
        <w:fldChar w:fldCharType="end"/>
      </w:r>
      <w:r w:rsidRPr="009E5DBF">
        <w:rPr>
          <w:rFonts w:ascii="Book Antiqua" w:hAnsi="Book Antiqua"/>
          <w:sz w:val="24"/>
          <w:szCs w:val="24"/>
          <w:lang w:val="sv-SE"/>
        </w:rPr>
        <w:t>. Daya persuasif mereka berasal dari keyakinan yang tulus dan teguh akan manfaat dari layanan baru ini. Antusiasme mereka yang "menular" menimbulkan semangat untuk melakukan perubahan dengan menjelaskan kepada rekan-rekannya tentang pentingnya pelayanan IUD bagi pasien di puskesmas.</w:t>
      </w:r>
    </w:p>
    <w:p w14:paraId="254CF1F8"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"Sebagian besar dari hal tersebut dapat dikaitkan dengan antusiasme champion untuk tujuan ini dan kemampuannya untuk memobilisasi orang dan menggalang dukungan, ia dapat menjual, ia adalah seorang penjual </w:t>
      </w:r>
      <w:proofErr w:type="gramStart"/>
      <w:r w:rsidRPr="009E5DBF">
        <w:rPr>
          <w:rFonts w:ascii="Book Antiqua" w:hAnsi="Book Antiqua"/>
          <w:sz w:val="24"/>
          <w:szCs w:val="24"/>
          <w:lang w:val="sv-SE"/>
        </w:rPr>
        <w:t>yang luar</w:t>
      </w:r>
      <w:proofErr w:type="gramEnd"/>
      <w:r w:rsidRPr="009E5DBF">
        <w:rPr>
          <w:rFonts w:ascii="Book Antiqua" w:hAnsi="Book Antiqua"/>
          <w:sz w:val="24"/>
          <w:szCs w:val="24"/>
          <w:lang w:val="sv-SE"/>
        </w:rPr>
        <w:t xml:space="preserve"> biasa, namun ia juga memberikan bukti, Anda tahu? 'Ini adalah keinginan saya, dan inilah mengapa saya yakin kami harus mengejarnya, karena kami ingin mendapatkan keunggulan dari para pesaing kami,' katanya. Mari bergabung dengan semakin banyak orang yang melakukan hal ini di seluruh negeri saat ini. Dan terlihat jelas betapa antusiasnya dia terhadap hal ini dari cara dia berbicara dan mempresentasikannya." (Apoteker, Lokasi 6)</w:t>
      </w:r>
    </w:p>
    <w:p w14:paraId="13EB888B"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Para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persuasif mengakui nilai dari menyesuaikan pesan untuk melibatkan berbagai pemangku kepentingan. Mereka juga mengantisipasi kekhawatiran dan kesenjangan pengetahuan dari rekan-rekan mereka dan mengatasinya dengan cara yang mudah dipahami. Untuk melibatkan dokter, misalnya, para champion persuasif sering mendiskusikan cara menggunakan bukti dari literatur ilmiah; untuk melibatkan perawat, mereka akan menekankan kebutuhan pasien dan protokol; dan untuk melibatkan pekerja farmasi, mereka akan menyampaikan hasil finansial yang diharapkan. Para champion mampu menyesuaikan pesan persuasif mereka dengan tuntutan informasi spesifik dari kelompok lain.</w:t>
      </w:r>
    </w:p>
    <w:p w14:paraId="4DE200FB"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Para champion persuasif mengarahkan komunikasi penjangkauan mereka kepada pihak-pihak yang paling efektif menghalangi implementasi. Misalnya, menyadari bahwa pegawai apotek bertindak sebagai "penjaga gerbang alat", seperti yang disebut oleh salah satu champion, dan mengetahui bahwa mereka dapat dengan cepat mengakhiri operasi jika tidak ditentang, para champion ini sering mengeluarkan energi yang cukup besar untuk mengatasi perlawanan mereka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{"citationItems":[{"id":"ITEM-1","itemData":{"URL":"https://cfirguide.org/constructs-old/champions/","author":[{"dropping-particle":"","family":"Team","given":"Research","non-dropping-particle":"","parse-names":false,"suffix":""}],"container-title":"CFIR Research Team-Center for Clinical Management Research","id":"ITEM-1","issued":{"date-parts":[["2022"]]},"title":"Champion","type":"webpage"},"uris":["http://www.mendeley.com/documents/?uuid=36a42261-9e87-48ec-b2d1-2a470f763c9a"]}],"mendeley":{"formattedCitation":"(Team, 2022)","plainTextFormattedCitation":"(Team, 2022)","previouslyFormattedCitation":"(Team,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(Team, 2022)</w:t>
      </w:r>
      <w:r w:rsidRPr="009E5DBF">
        <w:rPr>
          <w:rFonts w:ascii="Book Antiqua" w:hAnsi="Book Antiqua"/>
          <w:sz w:val="24"/>
          <w:szCs w:val="24"/>
          <w:lang w:val="sv-SE"/>
        </w:rPr>
        <w:fldChar w:fldCharType="end"/>
      </w:r>
      <w:r w:rsidRPr="009E5DBF">
        <w:rPr>
          <w:rFonts w:ascii="Book Antiqua" w:hAnsi="Book Antiqua"/>
          <w:sz w:val="24"/>
          <w:szCs w:val="24"/>
          <w:lang w:val="sv-SE"/>
        </w:rPr>
        <w:t>. Di sisi lain, lokasi 11 menggambarkan bagaimana upaya implementasi sangat terhambat oleh ketidakmampuan untuk memenangkan hati pihak-pihak yang berpengaruh, seperti administrasi puskesmas.</w:t>
      </w:r>
    </w:p>
    <w:p w14:paraId="267762BA" w14:textId="77777777" w:rsidR="009E5DBF" w:rsidRPr="009E5DBF" w:rsidRDefault="009E5DBF" w:rsidP="009E5DBF">
      <w:pPr>
        <w:ind w:firstLine="567"/>
        <w:jc w:val="both"/>
        <w:rPr>
          <w:rFonts w:ascii="Book Antiqua" w:hAnsi="Book Antiqua"/>
          <w:sz w:val="24"/>
          <w:szCs w:val="24"/>
          <w:lang w:val="sv-SE"/>
        </w:rPr>
      </w:pPr>
    </w:p>
    <w:p w14:paraId="724C77C5" w14:textId="77777777" w:rsidR="009E5DBF" w:rsidRPr="009E5DBF" w:rsidRDefault="009E5DBF" w:rsidP="009E5DBF">
      <w:pPr>
        <w:pStyle w:val="DaftarParagraf"/>
        <w:numPr>
          <w:ilvl w:val="0"/>
          <w:numId w:val="29"/>
        </w:numPr>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Gaya kepemimpinan partisipatif</w:t>
      </w:r>
    </w:p>
    <w:p w14:paraId="7A9BB18E"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Gaya kepemimpinan partisipatif yang mendorong aksi kelompok sering dikaitkan dengan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efektif. Para champion ini menerima umpan balik secara terus menerus dan melibatkan rekan-rekan mereka dalam pengambilan keputusan tentang bagaimana mengintegrasikan praktik baru ke dalam pemberian layanan saat ini </w:t>
      </w:r>
      <w:r w:rsidRPr="009E5DBF">
        <w:rPr>
          <w:rFonts w:ascii="Book Antiqua" w:hAnsi="Book Antiqua"/>
          <w:sz w:val="24"/>
          <w:szCs w:val="24"/>
          <w:lang w:val="sv-SE"/>
        </w:rPr>
        <w:fldChar w:fldCharType="begin" w:fldLock="1"/>
      </w:r>
      <w:r w:rsidRPr="009E5DBF">
        <w:rPr>
          <w:rFonts w:ascii="Book Antiqua" w:hAnsi="Book Antiqua"/>
          <w:sz w:val="24"/>
          <w:szCs w:val="24"/>
          <w:lang w:val="sv-SE"/>
        </w:rPr>
        <w:instrText>ADDIN CSL_CITATION {"citationItems":[{"id":"ITEM-1","itemData":{"abstract":"Changes in the external market environment put forward objective requirements for the formulation of organizational strategic plans, making it difficult for the organization’s leaders to make the right and effective decisions quickly on their own. As a result, participative leadership, which encourages and supports employees to participate in the decision-making process of organizations, has received increasing attention in both theory and practice. We searched the literature related to participative leadership in databases such as Web of Science, EBSCO, ProQuest, and China National Knowledge Infrastructure (CNKI). Based on this, we clarify the concept of participative leadership, propose a definition of participative leadership, summarize measurement scales for this type of leadership, and compare participative leadership with other leadership styles (empowering leadership and directive leadership). We also present a research framework for participative leadership that demonstrates its antecedents; the mechanisms for its development based on social exchange theory, conservation of resources theory, social cognitive theory; social information processing theory, and implicit leadership theory; and outcomes. Finally, we identify five potential research areas: Connotation, antecedents, outcomes, mediators and moderators, and study of participative leadership in China.","author":[{"dropping-particle":"","family":"Wang","given":"Qiang","non-dropping-particle":"","parse-names":false,"suffix":""},{"dropping-particle":"","family":"Hou","given":"Hong","non-dropping-particle":"","parse-names":false,"suffix":""},{"dropping-particle":"","family":"Li","given":"Zhibin","non-dropping-particle":"","parse-names":false,"suffix":""}],"container-title":"Frontiers in Psychology","id":"ITEM-1","issued":{"date-parts":[["2022"]]},"title":"Participative Leadership: A Literature Review and Prospects for Future Research","type":"article-journal"},"uris":["http://www.mendeley.com/documents/?uuid=2d2fe8e5-f6a6-4b9e-8d41-1c2c8448c965"]}],"mendeley":{"formattedCitation":"(Wang et al., 2022)","plainTextFormattedCitation":"(Wang et al., 2022)","previouslyFormattedCitation":"(Wang et al., 2022)"},"properties":{"noteIndex":0},"schema":"https://github.com/citation-style-language/schema/raw/master/csl-citation.json"}</w:instrText>
      </w:r>
      <w:r w:rsidRPr="009E5DBF">
        <w:rPr>
          <w:rFonts w:ascii="Book Antiqua" w:hAnsi="Book Antiqua"/>
          <w:sz w:val="24"/>
          <w:szCs w:val="24"/>
          <w:lang w:val="sv-SE"/>
        </w:rPr>
        <w:fldChar w:fldCharType="separate"/>
      </w:r>
      <w:r w:rsidRPr="009E5DBF">
        <w:rPr>
          <w:rFonts w:ascii="Book Antiqua" w:hAnsi="Book Antiqua"/>
          <w:noProof/>
          <w:sz w:val="24"/>
          <w:szCs w:val="24"/>
          <w:lang w:val="sv-SE"/>
        </w:rPr>
        <w:t>(Wang et al., 2022)</w:t>
      </w:r>
      <w:r w:rsidRPr="009E5DBF">
        <w:rPr>
          <w:rFonts w:ascii="Book Antiqua" w:hAnsi="Book Antiqua"/>
          <w:sz w:val="24"/>
          <w:szCs w:val="24"/>
          <w:lang w:val="sv-SE"/>
        </w:rPr>
        <w:fldChar w:fldCharType="end"/>
      </w:r>
      <w:r w:rsidRPr="009E5DBF">
        <w:rPr>
          <w:rFonts w:ascii="Book Antiqua" w:hAnsi="Book Antiqua"/>
          <w:sz w:val="24"/>
          <w:szCs w:val="24"/>
          <w:lang w:val="sv-SE"/>
        </w:rPr>
        <w:t xml:space="preserve">. Hal ini memungkinkan </w:t>
      </w:r>
      <w:r w:rsidRPr="009E5DBF">
        <w:rPr>
          <w:rFonts w:ascii="Book Antiqua" w:hAnsi="Book Antiqua"/>
          <w:sz w:val="24"/>
          <w:szCs w:val="24"/>
          <w:lang w:val="sv-SE"/>
        </w:rPr>
        <w:lastRenderedPageBreak/>
        <w:t>mereka untuk menciptakan alur kerja yang sesuai dengan preferensi dokter di garis depan dan meningkatkan pelaksanaannya secara real time.</w:t>
      </w:r>
    </w:p>
    <w:p w14:paraId="41F7917E"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"Oleh karena itu, Anda menghadiri pertemuan tim pemimpin </w:t>
      </w:r>
      <w:proofErr w:type="gramStart"/>
      <w:r w:rsidRPr="009E5DBF">
        <w:rPr>
          <w:rFonts w:ascii="Book Antiqua" w:hAnsi="Book Antiqua"/>
          <w:sz w:val="24"/>
          <w:szCs w:val="24"/>
          <w:lang w:val="sv-SE"/>
        </w:rPr>
        <w:t>dan bidan</w:t>
      </w:r>
      <w:proofErr w:type="gramEnd"/>
      <w:r w:rsidRPr="009E5DBF">
        <w:rPr>
          <w:rFonts w:ascii="Book Antiqua" w:hAnsi="Book Antiqua"/>
          <w:sz w:val="24"/>
          <w:szCs w:val="24"/>
          <w:lang w:val="sv-SE"/>
        </w:rPr>
        <w:t>, bertanya kepada perawat, dan secara umum menindaklanjuti dengan orang-orang untuk mengetahui apa yang berjalan dengan baik dan apa yang tidak. Ketika hal ini lolos dari perhatian Anda, ke mana Anda mencarinya jika Anda merasa sudah memiliki informasi namun ternyata tidak?" (Champion, Lokasi 10)</w:t>
      </w:r>
    </w:p>
    <w:p w14:paraId="519560D2"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Dalam lingkungan belajar di mana orang lain merasa dihargai, didengar, dan diikutsertakan, para champion dengan gaya kepemimpinan partisipatif mendorong inklusi. Mereka mendengarkan rekan-rekan kerja mereka yang terkena dampak perubahan dengan semangat yang sama seperti </w:t>
      </w:r>
      <w:proofErr w:type="gramStart"/>
      <w:r w:rsidRPr="009E5DBF">
        <w:rPr>
          <w:rFonts w:ascii="Book Antiqua" w:hAnsi="Book Antiqua"/>
          <w:sz w:val="24"/>
          <w:szCs w:val="24"/>
          <w:lang w:val="sv-SE"/>
        </w:rPr>
        <w:t>yang akan</w:t>
      </w:r>
      <w:proofErr w:type="gramEnd"/>
      <w:r w:rsidRPr="009E5DBF">
        <w:rPr>
          <w:rFonts w:ascii="Book Antiqua" w:hAnsi="Book Antiqua"/>
          <w:sz w:val="24"/>
          <w:szCs w:val="24"/>
          <w:lang w:val="sv-SE"/>
        </w:rPr>
        <w:t xml:space="preserve"> mereka lakukan jika mereka ingin didengar, dan mereka menunjukkan keingintahuan yang tinggi tentang sudut pandang mereka. Karena mereka merasa penting dan berharga sebagai peserta penting dalam proses perubahan, rekan kerja merespons dan terinspirasi untuk secara aktif terlibat dalam implementasi.</w:t>
      </w:r>
    </w:p>
    <w:p w14:paraId="6AB02E28"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“Sebelum kami benar-benar menerapkan apa pun, [Champion] menunjukkan kepada semua orang betapa santunnya dia dan meluangkan waktu untuk menjelaskan semuanya, mendengarkan kekhawatiran mereka, dan mengatasi segala hambatan yang mereka lihat. Saya percaya bahwa rasa keterlibatan para perawat dalam proses ini sangat bermanfaat.” (Dokter Senior, Lokasi 3)</w:t>
      </w:r>
    </w:p>
    <w:p w14:paraId="03E79485"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Para pemimpin partisipatif mengatasi kekhawatiran tentang upaya perubahan dengan menggunakan </w:t>
      </w:r>
      <w:proofErr w:type="gramStart"/>
      <w:r w:rsidRPr="009E5DBF">
        <w:rPr>
          <w:rFonts w:ascii="Book Antiqua" w:hAnsi="Book Antiqua"/>
          <w:sz w:val="24"/>
          <w:szCs w:val="24"/>
          <w:lang w:val="sv-SE"/>
        </w:rPr>
        <w:t>empati dan</w:t>
      </w:r>
      <w:proofErr w:type="gramEnd"/>
      <w:r w:rsidRPr="009E5DBF">
        <w:rPr>
          <w:rFonts w:ascii="Book Antiqua" w:hAnsi="Book Antiqua"/>
          <w:sz w:val="24"/>
          <w:szCs w:val="24"/>
          <w:lang w:val="sv-SE"/>
        </w:rPr>
        <w:t xml:space="preserve"> dedikasi untuk tidak pernah meninggalkan rekan kerja. Sebagai contoh, mereka menawarkan dorongan kepercayaan diri yang sangat dibutuhkan dengan mengantisipasi bahwa para profesional dapat merasa khawatir saat mempresentasikan prosedur baru.</w:t>
      </w:r>
    </w:p>
    <w:p w14:paraId="66395994"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Orang-orang yang datang dan memancarkan kepercayaan diri serta mengatakan hal-hal seperti "Anda melakukan hal-hal yang jauh lebih sulit daripada ini" dan "tentu saja Anda bisa melakukan ini" sangat bermanfaat. (Bidan, Lokasi 2)</w:t>
      </w:r>
    </w:p>
    <w:p w14:paraId="412E6380"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Salah satu champion menceritakan bagaimana ia menangani kekhawatiran para perawat dalam menanggapi pertanyaan dari pasien tentang layanan baru ini. Selain menekankan bahwa partisipasi semua orang penting untuk program ini, ia memberikan </w:t>
      </w:r>
      <w:proofErr w:type="gramStart"/>
      <w:r w:rsidRPr="009E5DBF">
        <w:rPr>
          <w:rFonts w:ascii="Book Antiqua" w:hAnsi="Book Antiqua"/>
          <w:sz w:val="24"/>
          <w:szCs w:val="24"/>
          <w:lang w:val="sv-SE"/>
        </w:rPr>
        <w:t>bahasa yang</w:t>
      </w:r>
      <w:proofErr w:type="gramEnd"/>
      <w:r w:rsidRPr="009E5DBF">
        <w:rPr>
          <w:rFonts w:ascii="Book Antiqua" w:hAnsi="Book Antiqua"/>
          <w:sz w:val="24"/>
          <w:szCs w:val="24"/>
          <w:lang w:val="sv-SE"/>
        </w:rPr>
        <w:t xml:space="preserve"> dapat digunakan di samping tempat tidur pasien dan mengingatkan mereka bahwa "kalian memiliki peran yang besar, seperti, kami tidak dapat melakukan ini tanpa kalian dan kami ingin kalian ikut serta dan bersemangat" (Champion, Lokasi 6). Pemimpin partisipatif dapat secara efektif melibatkan rekan kerja dan menciptakan proses yang membuat perubahan perilaku yang diinginkan menjadi sederhana dan tahan lama dengan membantu rekan kerja merasa nyaman untuk berbagi masalah dan merasa sebagai kontributor yang dihargai dalam upaya perubahan.</w:t>
      </w:r>
    </w:p>
    <w:p w14:paraId="2BABEC16"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Lokasi 1 menunjukkan bahwa gaya kepemimpinan partisipatif tidak diperlukan untuk mencapai keberhasilan. Champion di lokasi ini menunjukkan kurangnya minat terhadap pendapat rekan kerja lainnya terkait praktik baru, berbeda dengan kepemimpinan partisipatif yang terlihat pada champion lainnya.</w:t>
      </w:r>
    </w:p>
    <w:p w14:paraId="7D8CBF83"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“Salah satu karyawan kami adalah pendukung yang sangat bersemangat untuk menyusui, dan saya yakin dia menyuarakan beberapa kekhawatiran. </w:t>
      </w:r>
      <w:r w:rsidRPr="009E5DBF">
        <w:rPr>
          <w:rFonts w:ascii="Book Antiqua" w:hAnsi="Book Antiqua"/>
          <w:sz w:val="24"/>
          <w:szCs w:val="24"/>
          <w:lang w:val="sv-SE"/>
        </w:rPr>
        <w:lastRenderedPageBreak/>
        <w:t>Namun menurut saya, ini hanya kasus ya, baiklah, maaf. Anda tahu, kami tidak menganggap hal ini sebagai masalah. Tidak ada kekhawatiran yang ditunjukkan oleh data. Tidak ada masalah, menurut CDC dan WHO.” (Champion, Lokasi 1)</w:t>
      </w:r>
    </w:p>
    <w:p w14:paraId="1B9BF549" w14:textId="77777777" w:rsid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Alasan mengapa layanan di Lokasi 1 tetap rutin meskipun ada pendekatan champion bisa jadi karena alih-alih memulai upaya implementasi formal, champion membiarkan layanan baru ini menyebar secara progresif dari sekelompok kecil pengadopsi awal ke anggota puskesmas lainnya. Selain itu, implementasi kepemimpinan partisipatif tidak memadai. Meskipun Lokasi 11 memiliki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menunjukkan kepemimpinan partisipatif dan berhasil melibatkan dokter, apoteker, dan petugas penagihan, namun mereka tidak merutinkan layanan.</w:t>
      </w:r>
    </w:p>
    <w:p w14:paraId="54F786DB" w14:textId="77777777" w:rsidR="008B61C2" w:rsidRPr="009E5DBF" w:rsidRDefault="008B61C2" w:rsidP="009E5DBF">
      <w:pPr>
        <w:ind w:firstLine="567"/>
        <w:jc w:val="both"/>
        <w:rPr>
          <w:rFonts w:ascii="Book Antiqua" w:hAnsi="Book Antiqua"/>
          <w:sz w:val="24"/>
          <w:szCs w:val="24"/>
          <w:lang w:val="sv-SE"/>
        </w:rPr>
      </w:pPr>
    </w:p>
    <w:p w14:paraId="491DAC30" w14:textId="77777777" w:rsidR="009E5DBF" w:rsidRPr="009E5DBF" w:rsidRDefault="009E5DBF" w:rsidP="008B61C2">
      <w:pPr>
        <w:pStyle w:val="DaftarParagraf"/>
        <w:spacing w:after="0" w:line="240" w:lineRule="auto"/>
        <w:ind w:left="567" w:hanging="567"/>
        <w:jc w:val="both"/>
        <w:rPr>
          <w:rFonts w:ascii="Book Antiqua" w:hAnsi="Book Antiqua"/>
          <w:b/>
          <w:sz w:val="24"/>
          <w:szCs w:val="24"/>
          <w:lang w:val="sv-SE"/>
        </w:rPr>
      </w:pPr>
      <w:r w:rsidRPr="009E5DBF">
        <w:rPr>
          <w:rFonts w:ascii="Book Antiqua" w:hAnsi="Book Antiqua"/>
          <w:b/>
          <w:sz w:val="24"/>
          <w:szCs w:val="24"/>
          <w:lang w:val="sv-SE"/>
        </w:rPr>
        <w:t>PEMBAHASAN</w:t>
      </w:r>
    </w:p>
    <w:p w14:paraId="12638FE5"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Kami menemukan bahwa enam kualitas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penting dapat menjadi fasilitator implementasi dalam studi kasus komparatif ini. Alih-alih ada atau tidak adanya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jelas, kami menemukan bahwa interaksi yang rumit antara konteks dan sifat-sifat champion mempengaruhi hasil implementasi. Penelitian kami menyoroti cara-cara para champion beroperasi dan bagaimana caranya. Secara khusus, kami menemukan bahwa kualitas seorang champion dapat memengaruhi seberapa baik mereka mengelola hambatan implementasi organisasi, terutama yang berkaitan dengan jaringan dan komunikasi, fitur struktural, sikap pemangku kepentingan terhadap inovasi, dan iklim yang melingkupi implementasi (termasuk ketegangan seputar perubahan, lingkungan belajar, dan kesesuaian praktik-praktik baru yang dirasakan dengan alur kerja, norma, dan nilai yang sudah ada).</w:t>
      </w:r>
    </w:p>
    <w:p w14:paraId="10941198"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Gagasan tentang champion biasanya dioperasionalkan dalam literatur sebagai keadaan biner: apakah upaya tersebut memiliki champion atau tidak? Hasil penelitian kami mendukung saran yang dibuat oleh orang lain untuk pemahaman yang lebih kompleks mengenai fungsi penting </w:t>
      </w:r>
      <w:proofErr w:type="gramStart"/>
      <w:r w:rsidRPr="009E5DBF">
        <w:rPr>
          <w:rFonts w:ascii="Book Antiqua" w:hAnsi="Book Antiqua"/>
          <w:sz w:val="24"/>
          <w:szCs w:val="24"/>
          <w:lang w:val="sv-SE"/>
        </w:rPr>
        <w:t>dari champion</w:t>
      </w:r>
      <w:proofErr w:type="gramEnd"/>
      <w:r w:rsidRPr="009E5DBF">
        <w:rPr>
          <w:rFonts w:ascii="Book Antiqua" w:hAnsi="Book Antiqua"/>
          <w:sz w:val="24"/>
          <w:szCs w:val="24"/>
          <w:lang w:val="sv-SE"/>
        </w:rPr>
        <w:t xml:space="preserve">: sejauh mana champion memiliki kualitas esensial yang disebutkan di atas dan seberapa baik mereka menyesuaikan diri dengan hambatan kontekstual lokal? Sangat penting untuk mengevaluasi jenis hambatan implementasi kontekstual dan menemukan atau mengembangkan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memenuhi syarat untuk mengatasinya. Tim yang memiliki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terintegrasi di setiap tahap proses perubahan dan advokat yang dapat menggunakan pengaruh organisasi, atau power-by-proxy, dapat bermanfaat bagi inisiatif perubahan, terutama jika diperkirakan akan terjadi resistensi. Jika memungkinkan, organisasi harus memikirkan untuk memberikan kesempatan kepada anggota tim dan pemimpin untuk menjadi champion daripada menugaskan mereka untuk peran tersebut, karena hal ini dapat mendorong rasa kepemilikan yang lebih besar terhadap proyek. Meskipun pengaruh dapat ditingkatkan dengan otoritas formal, kepemimpinan opini, dan pemahaman kelembagaan, kemampuan persuasif, ketabahan, dan kepemimpinan partisipatif dapat dipelajari. Hal ini menyiratkan bahwa dengan bantuan yang tepat, para champion dapat dibentuk. Tim perbaikan mungkin lebih siap untuk proyek-proyek berikutnya dan implementasi yang sukses dapat dipastikan dengan mengembangkan kualitas-kualitas ini, terutama pada banyak individu. Yang terpenting, mungkin ada rintangan konteks eksternal </w:t>
      </w:r>
      <w:r w:rsidRPr="009E5DBF">
        <w:rPr>
          <w:rFonts w:ascii="Book Antiqua" w:hAnsi="Book Antiqua"/>
          <w:sz w:val="24"/>
          <w:szCs w:val="24"/>
          <w:lang w:val="sv-SE"/>
        </w:rPr>
        <w:lastRenderedPageBreak/>
        <w:t>tertentu yang berada di luar jangkauan champion puskesmas; ini adalah salah satu contoh di mana champion mungkin dapat membantu tetapi tidak memadai.</w:t>
      </w:r>
    </w:p>
    <w:p w14:paraId="1B73C00C"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Penting untuk mempertimbangkan batasan-batasan desain kami ketika menginterpretasikan hasil penelitian. Hasil dari studi kasus komparatif retrospektif ini, yang bergantung pada ingatan partisipan, menghasilkan hipotesis terkait </w:t>
      </w:r>
      <w:proofErr w:type="gramStart"/>
      <w:r w:rsidRPr="009E5DBF">
        <w:rPr>
          <w:rFonts w:ascii="Book Antiqua" w:hAnsi="Book Antiqua"/>
          <w:sz w:val="24"/>
          <w:szCs w:val="24"/>
          <w:lang w:val="sv-SE"/>
        </w:rPr>
        <w:t>karakteristik champion</w:t>
      </w:r>
      <w:proofErr w:type="gramEnd"/>
      <w:r w:rsidRPr="009E5DBF">
        <w:rPr>
          <w:rFonts w:ascii="Book Antiqua" w:hAnsi="Book Antiqua"/>
          <w:sz w:val="24"/>
          <w:szCs w:val="24"/>
          <w:lang w:val="sv-SE"/>
        </w:rPr>
        <w:t xml:space="preserve"> yang sukses, tim mereka, dan kemungkinan mekanisme aksi. Kami tidak dapat menentukan apakah ciri-ciri champion itu penting atau memadai berdasarkan ukuran </w:t>
      </w:r>
      <w:proofErr w:type="gramStart"/>
      <w:r w:rsidRPr="009E5DBF">
        <w:rPr>
          <w:rFonts w:ascii="Book Antiqua" w:hAnsi="Book Antiqua"/>
          <w:sz w:val="24"/>
          <w:szCs w:val="24"/>
          <w:lang w:val="sv-SE"/>
        </w:rPr>
        <w:t>sampel yang</w:t>
      </w:r>
      <w:proofErr w:type="gramEnd"/>
      <w:r w:rsidRPr="009E5DBF">
        <w:rPr>
          <w:rFonts w:ascii="Book Antiqua" w:hAnsi="Book Antiqua"/>
          <w:sz w:val="24"/>
          <w:szCs w:val="24"/>
          <w:lang w:val="sv-SE"/>
        </w:rPr>
        <w:t xml:space="preserve"> pendek, dan kami juga tidak dapat mengidentifikasi konsekuensi tertentu dari setiap ciri secara terpisah. Namun, metode kualitatif yang ketat dan heterogenitas kontekstual antar lokasi menawarkan wawasan baru yang kaya tentang bagaimana sifat-sifat tertentu dapat mendukung para champion dalam mengatasi tantangan implementasi. Penelitian selanjutnya harus menilai secara prospektif hubungan sebab akibat yang masuk akal di antara sifat-sifat champion, </w:t>
      </w:r>
      <w:proofErr w:type="gramStart"/>
      <w:r w:rsidRPr="009E5DBF">
        <w:rPr>
          <w:rFonts w:ascii="Book Antiqua" w:hAnsi="Book Antiqua"/>
          <w:sz w:val="24"/>
          <w:szCs w:val="24"/>
          <w:lang w:val="sv-SE"/>
        </w:rPr>
        <w:t>taktik yang</w:t>
      </w:r>
      <w:proofErr w:type="gramEnd"/>
      <w:r w:rsidRPr="009E5DBF">
        <w:rPr>
          <w:rFonts w:ascii="Book Antiqua" w:hAnsi="Book Antiqua"/>
          <w:sz w:val="24"/>
          <w:szCs w:val="24"/>
          <w:lang w:val="sv-SE"/>
        </w:rPr>
        <w:t xml:space="preserve"> digunakan untuk implementasi, dan hasil implementasi. Untuk penelitian ini, semua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diwawancarai adalah dokter. Penelitian di masa depan dapat mengambil manfaat dengan meneliti apakah manfaat </w:t>
      </w:r>
      <w:proofErr w:type="gramStart"/>
      <w:r w:rsidRPr="009E5DBF">
        <w:rPr>
          <w:rFonts w:ascii="Book Antiqua" w:hAnsi="Book Antiqua"/>
          <w:sz w:val="24"/>
          <w:szCs w:val="24"/>
          <w:lang w:val="sv-SE"/>
        </w:rPr>
        <w:t>dari champion</w:t>
      </w:r>
      <w:proofErr w:type="gramEnd"/>
      <w:r w:rsidRPr="009E5DBF">
        <w:rPr>
          <w:rFonts w:ascii="Book Antiqua" w:hAnsi="Book Antiqua"/>
          <w:sz w:val="24"/>
          <w:szCs w:val="24"/>
          <w:lang w:val="sv-SE"/>
        </w:rPr>
        <w:t xml:space="preserve"> implementasi dimoderasi oleh peran profesional. Yang tidak kalah penting, sebagian besar puskesmas yang berpartisipasi adalah pengadopsi awal layanan IUD pascapersalinan yang mendesak. Analisis selanjutnya dengan menggunakan jumlah yang lebih besar dari lokasi yang tidak berhasil mungkin dapat memberikan pemahaman yang lebih jelas tentang </w:t>
      </w:r>
      <w:proofErr w:type="gramStart"/>
      <w:r w:rsidRPr="009E5DBF">
        <w:rPr>
          <w:rFonts w:ascii="Book Antiqua" w:hAnsi="Book Antiqua"/>
          <w:sz w:val="24"/>
          <w:szCs w:val="24"/>
          <w:lang w:val="sv-SE"/>
        </w:rPr>
        <w:t>karakteristik yang</w:t>
      </w:r>
      <w:proofErr w:type="gramEnd"/>
      <w:r w:rsidRPr="009E5DBF">
        <w:rPr>
          <w:rFonts w:ascii="Book Antiqua" w:hAnsi="Book Antiqua"/>
          <w:sz w:val="24"/>
          <w:szCs w:val="24"/>
          <w:lang w:val="sv-SE"/>
        </w:rPr>
        <w:t xml:space="preserve"> menyebabkan champion yang tidak efektif.</w:t>
      </w:r>
    </w:p>
    <w:p w14:paraId="0731A64B" w14:textId="77777777" w:rsidR="009E5DBF" w:rsidRPr="009E5DBF" w:rsidRDefault="009E5DBF" w:rsidP="009E5DBF">
      <w:pPr>
        <w:ind w:firstLine="567"/>
        <w:jc w:val="both"/>
        <w:rPr>
          <w:rFonts w:ascii="Book Antiqua" w:hAnsi="Book Antiqua"/>
          <w:sz w:val="24"/>
          <w:szCs w:val="24"/>
          <w:lang w:val="sv-SE"/>
        </w:rPr>
      </w:pPr>
    </w:p>
    <w:p w14:paraId="429B5F4E" w14:textId="77777777" w:rsidR="009E5DBF" w:rsidRPr="009E5DBF" w:rsidRDefault="009E5DBF" w:rsidP="009E5DBF">
      <w:pPr>
        <w:jc w:val="both"/>
        <w:rPr>
          <w:rFonts w:ascii="Book Antiqua" w:hAnsi="Book Antiqua"/>
          <w:b/>
          <w:sz w:val="24"/>
          <w:szCs w:val="24"/>
          <w:lang w:val="sv-SE"/>
        </w:rPr>
      </w:pPr>
      <w:r w:rsidRPr="009E5DBF">
        <w:rPr>
          <w:rFonts w:ascii="Book Antiqua" w:hAnsi="Book Antiqua"/>
          <w:b/>
          <w:sz w:val="24"/>
          <w:szCs w:val="24"/>
          <w:lang w:val="sv-SE"/>
        </w:rPr>
        <w:t>KESIMPULAN</w:t>
      </w:r>
    </w:p>
    <w:p w14:paraId="5DA41018"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ini menegaskan pentingnya peran para champion dalam keberhasilan upaya perubahan layanan kesehatan. Berdasarkan analisis terhadap implementasi layanan kontrasepsi pascapersalinan di 11 puskesmas, ditemukan bahwa keberhasilan implementasi sangat dipengaruhi oleh enam atribut kunci para champion, yaitu: pengaruh, kepemilikan, kehadiran fisik di titik perubahan, ketabahan, kemampuan persuasif, dan gaya kepemimpinan partisipatif. Para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memiliki atribut-atribut ini mampu mengatasi berbagai hambatan organisasi dan memfasilitasi adopsi inovasi yang meningkatkan kualitas layanan kesehatan.</w:t>
      </w:r>
    </w:p>
    <w:p w14:paraId="7A0A63F9"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Temuan ini menunjukkan bahwa efektivitas para champion tidak hanya bergantung pada atribut individu mereka tetapi juga pada interaksi antara atribut-atribut tersebut dengan konteks organisasi. Dukungan manajemen yang kuat, sumber daya manusia yang memadai, serta sikap positif terhadap inovasi di lingkungan kerja turut berperan dalam menentukan keberhasilan implementasi.</w:t>
      </w:r>
    </w:p>
    <w:p w14:paraId="7BAA3FF0" w14:textId="77777777" w:rsid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Secara keseluruhan, penelitian ini memberikan wawasan penting bagi organisasi layanan kesehatan dalam memilih dan mengembangkan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efektif untuk meningkatkan keberhasilan inisiatif perubahan mereka.</w:t>
      </w:r>
    </w:p>
    <w:p w14:paraId="5317D948" w14:textId="77777777" w:rsidR="008B61C2" w:rsidRPr="009E5DBF" w:rsidRDefault="008B61C2" w:rsidP="009E5DBF">
      <w:pPr>
        <w:ind w:firstLine="567"/>
        <w:jc w:val="both"/>
        <w:rPr>
          <w:rFonts w:ascii="Book Antiqua" w:hAnsi="Book Antiqua"/>
          <w:sz w:val="24"/>
          <w:szCs w:val="24"/>
          <w:lang w:val="sv-SE"/>
        </w:rPr>
      </w:pPr>
    </w:p>
    <w:p w14:paraId="4D63DD63" w14:textId="77777777" w:rsidR="009E5DBF" w:rsidRPr="009E5DBF" w:rsidRDefault="009E5DBF" w:rsidP="009E5DBF">
      <w:pPr>
        <w:jc w:val="both"/>
        <w:rPr>
          <w:rFonts w:ascii="Book Antiqua" w:hAnsi="Book Antiqua"/>
          <w:b/>
          <w:bCs/>
          <w:sz w:val="24"/>
          <w:szCs w:val="24"/>
          <w:lang w:val="sv-SE"/>
        </w:rPr>
      </w:pPr>
      <w:r w:rsidRPr="009E5DBF">
        <w:rPr>
          <w:rFonts w:ascii="Book Antiqua" w:hAnsi="Book Antiqua"/>
          <w:b/>
          <w:bCs/>
          <w:sz w:val="24"/>
          <w:szCs w:val="24"/>
          <w:lang w:val="sv-SE"/>
        </w:rPr>
        <w:t>Keterbatasan Penelitian</w:t>
      </w:r>
    </w:p>
    <w:p w14:paraId="0B30FAE8"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ini memiliki beberapa keterbatasan yang perlu diperhatikan. Desain retrospektif yang bergantung pada ingatan partisipan dapat mempengaruhi keakuratan data yang dikumpulkan. Selain itu, ukuran </w:t>
      </w:r>
      <w:proofErr w:type="gramStart"/>
      <w:r w:rsidRPr="009E5DBF">
        <w:rPr>
          <w:rFonts w:ascii="Book Antiqua" w:hAnsi="Book Antiqua"/>
          <w:sz w:val="24"/>
          <w:szCs w:val="24"/>
          <w:lang w:val="sv-SE"/>
        </w:rPr>
        <w:t xml:space="preserve">sampel </w:t>
      </w:r>
      <w:r w:rsidRPr="009E5DBF">
        <w:rPr>
          <w:rFonts w:ascii="Book Antiqua" w:hAnsi="Book Antiqua"/>
          <w:sz w:val="24"/>
          <w:szCs w:val="24"/>
          <w:lang w:val="sv-SE"/>
        </w:rPr>
        <w:lastRenderedPageBreak/>
        <w:t>yang</w:t>
      </w:r>
      <w:proofErr w:type="gramEnd"/>
      <w:r w:rsidRPr="009E5DBF">
        <w:rPr>
          <w:rFonts w:ascii="Book Antiqua" w:hAnsi="Book Antiqua"/>
          <w:sz w:val="24"/>
          <w:szCs w:val="24"/>
          <w:lang w:val="sv-SE"/>
        </w:rPr>
        <w:t xml:space="preserve"> terbatas membatasi generalisasi temuan ini ke konteks yang lebih luas. Kami tidak dapat menentukan apakah ciri-ciri champion itu penting atau memadai berdasarkan ukuran </w:t>
      </w:r>
      <w:proofErr w:type="gramStart"/>
      <w:r w:rsidRPr="009E5DBF">
        <w:rPr>
          <w:rFonts w:ascii="Book Antiqua" w:hAnsi="Book Antiqua"/>
          <w:sz w:val="24"/>
          <w:szCs w:val="24"/>
          <w:lang w:val="sv-SE"/>
        </w:rPr>
        <w:t>sampel yang</w:t>
      </w:r>
      <w:proofErr w:type="gramEnd"/>
      <w:r w:rsidRPr="009E5DBF">
        <w:rPr>
          <w:rFonts w:ascii="Book Antiqua" w:hAnsi="Book Antiqua"/>
          <w:sz w:val="24"/>
          <w:szCs w:val="24"/>
          <w:lang w:val="sv-SE"/>
        </w:rPr>
        <w:t xml:space="preserve"> pendek, dan kami juga tidak dapat mengidentifikasi konsekuensi tertentu dari setiap ciri secara terpisah.</w:t>
      </w:r>
    </w:p>
    <w:p w14:paraId="711644E2"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ini juga hanya melibatkan </w:t>
      </w:r>
      <w:proofErr w:type="gramStart"/>
      <w:r w:rsidRPr="009E5DBF">
        <w:rPr>
          <w:rFonts w:ascii="Book Antiqua" w:hAnsi="Book Antiqua"/>
          <w:sz w:val="24"/>
          <w:szCs w:val="24"/>
          <w:lang w:val="sv-SE"/>
        </w:rPr>
        <w:t>champion yang</w:t>
      </w:r>
      <w:proofErr w:type="gramEnd"/>
      <w:r w:rsidRPr="009E5DBF">
        <w:rPr>
          <w:rFonts w:ascii="Book Antiqua" w:hAnsi="Book Antiqua"/>
          <w:sz w:val="24"/>
          <w:szCs w:val="24"/>
          <w:lang w:val="sv-SE"/>
        </w:rPr>
        <w:t xml:space="preserve"> semuanya adalah dokter, sehingga penelitian di masa depan dapat mengambil manfaat dengan meneliti apakah manfaat dari champion implementasi dimoderasi oleh peran profesional. Sebagian besar puskesmas yang berpartisipasi adalah pengadopsi awal layanan IUD pascapersalinan yang mendesak, sehingga analisis selanjutnya dengan menggunakan jumlah yang lebih besar dari lokasi yang tidak berhasil mungkin dapat memberikan pemahaman yang lebih jelas tentang </w:t>
      </w:r>
      <w:proofErr w:type="gramStart"/>
      <w:r w:rsidRPr="009E5DBF">
        <w:rPr>
          <w:rFonts w:ascii="Book Antiqua" w:hAnsi="Book Antiqua"/>
          <w:sz w:val="24"/>
          <w:szCs w:val="24"/>
          <w:lang w:val="sv-SE"/>
        </w:rPr>
        <w:t>karakteristik yang</w:t>
      </w:r>
      <w:proofErr w:type="gramEnd"/>
      <w:r w:rsidRPr="009E5DBF">
        <w:rPr>
          <w:rFonts w:ascii="Book Antiqua" w:hAnsi="Book Antiqua"/>
          <w:sz w:val="24"/>
          <w:szCs w:val="24"/>
          <w:lang w:val="sv-SE"/>
        </w:rPr>
        <w:t xml:space="preserve"> menyebabkan champion yang tidak efektif.</w:t>
      </w:r>
    </w:p>
    <w:p w14:paraId="7E5D918D" w14:textId="77777777" w:rsid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lebih lanjut diperlukan untuk mengevaluasi secara prospektif hubungan sebab akibat antara atribut champion, taktik implementasi, dan hasil implementasi, serta untuk mengkaji apakah manfaat </w:t>
      </w:r>
      <w:proofErr w:type="gramStart"/>
      <w:r w:rsidRPr="009E5DBF">
        <w:rPr>
          <w:rFonts w:ascii="Book Antiqua" w:hAnsi="Book Antiqua"/>
          <w:sz w:val="24"/>
          <w:szCs w:val="24"/>
          <w:lang w:val="sv-SE"/>
        </w:rPr>
        <w:t>dari champion</w:t>
      </w:r>
      <w:proofErr w:type="gramEnd"/>
      <w:r w:rsidRPr="009E5DBF">
        <w:rPr>
          <w:rFonts w:ascii="Book Antiqua" w:hAnsi="Book Antiqua"/>
          <w:sz w:val="24"/>
          <w:szCs w:val="24"/>
          <w:lang w:val="sv-SE"/>
        </w:rPr>
        <w:t xml:space="preserve"> implementasi dimoderasi oleh peran profesional.</w:t>
      </w:r>
    </w:p>
    <w:p w14:paraId="1CC11132" w14:textId="77777777" w:rsidR="008B61C2" w:rsidRPr="009E5DBF" w:rsidRDefault="008B61C2" w:rsidP="009E5DBF">
      <w:pPr>
        <w:ind w:firstLine="567"/>
        <w:jc w:val="both"/>
        <w:rPr>
          <w:rFonts w:ascii="Book Antiqua" w:hAnsi="Book Antiqua"/>
          <w:sz w:val="24"/>
          <w:szCs w:val="24"/>
          <w:lang w:val="sv-SE"/>
        </w:rPr>
      </w:pPr>
    </w:p>
    <w:p w14:paraId="66A5CD60" w14:textId="77777777" w:rsidR="009E5DBF" w:rsidRPr="009E5DBF" w:rsidRDefault="009E5DBF" w:rsidP="009E5DBF">
      <w:pPr>
        <w:jc w:val="both"/>
        <w:rPr>
          <w:rFonts w:ascii="Book Antiqua" w:hAnsi="Book Antiqua"/>
          <w:b/>
          <w:bCs/>
          <w:sz w:val="24"/>
          <w:szCs w:val="24"/>
          <w:lang w:val="sv-SE"/>
        </w:rPr>
      </w:pPr>
      <w:r w:rsidRPr="009E5DBF">
        <w:rPr>
          <w:rFonts w:ascii="Book Antiqua" w:hAnsi="Book Antiqua"/>
          <w:b/>
          <w:bCs/>
          <w:sz w:val="24"/>
          <w:szCs w:val="24"/>
          <w:lang w:val="sv-SE"/>
        </w:rPr>
        <w:t>Rekomendasi Penelitian Masa Depan</w:t>
      </w:r>
    </w:p>
    <w:p w14:paraId="01C4BF29" w14:textId="77777777" w:rsidR="009E5DBF" w:rsidRPr="009E5DBF" w:rsidRDefault="009E5DBF" w:rsidP="009E5DBF">
      <w:pPr>
        <w:ind w:firstLine="567"/>
        <w:jc w:val="both"/>
        <w:rPr>
          <w:rFonts w:ascii="Book Antiqua" w:hAnsi="Book Antiqua"/>
          <w:sz w:val="24"/>
          <w:szCs w:val="24"/>
          <w:lang w:val="sv-SE"/>
        </w:rPr>
      </w:pPr>
      <w:r w:rsidRPr="009E5DBF">
        <w:rPr>
          <w:rFonts w:ascii="Book Antiqua" w:hAnsi="Book Antiqua"/>
          <w:sz w:val="24"/>
          <w:szCs w:val="24"/>
          <w:lang w:val="sv-SE"/>
        </w:rPr>
        <w:t xml:space="preserve">Penelitian masa depan perlu mengevaluasi hubungan sebab akibat antara atribut </w:t>
      </w:r>
      <w:proofErr w:type="gramStart"/>
      <w:r w:rsidRPr="009E5DBF">
        <w:rPr>
          <w:rFonts w:ascii="Book Antiqua" w:hAnsi="Book Antiqua"/>
          <w:sz w:val="24"/>
          <w:szCs w:val="24"/>
          <w:lang w:val="sv-SE"/>
        </w:rPr>
        <w:t>champion dan</w:t>
      </w:r>
      <w:proofErr w:type="gramEnd"/>
      <w:r w:rsidRPr="009E5DBF">
        <w:rPr>
          <w:rFonts w:ascii="Book Antiqua" w:hAnsi="Book Antiqua"/>
          <w:sz w:val="24"/>
          <w:szCs w:val="24"/>
          <w:lang w:val="sv-SE"/>
        </w:rPr>
        <w:t xml:space="preserve"> hasil implementasi, serta melibatkan berbagai peran profesional untuk memahami efektivitas champion. Studi yang mencakup lokasi yang berhasil dan tidak berhasil akan membantu mengidentifikasi faktor-faktor kegagalan. Pengembangan atribut champion melalui pelatihan dan pemahaman interaksi antara atribut dan konteks organisasi sangat penting. Studi longitudinal, evaluasi dampak kebijakan eksternal, dan penelitian penggunaan teknologi untuk mendukung champion juga diperlukan. Penelitian-penelitian ini akan memberikan panduan praktis untuk meningkatkan keberhasilan inisiatif perubahan layanan kesehatan.</w:t>
      </w:r>
    </w:p>
    <w:p w14:paraId="5739C57A" w14:textId="19D5B3B7" w:rsidR="000D1377" w:rsidRPr="009E5DBF" w:rsidRDefault="000D1377" w:rsidP="009E5DBF">
      <w:pPr>
        <w:pStyle w:val="firstparagrah"/>
        <w:spacing w:line="240" w:lineRule="auto"/>
        <w:contextualSpacing/>
        <w:rPr>
          <w:rFonts w:ascii="Book Antiqua" w:hAnsi="Book Antiqua"/>
          <w:b/>
          <w:bCs/>
          <w:sz w:val="24"/>
          <w:szCs w:val="24"/>
        </w:rPr>
      </w:pPr>
    </w:p>
    <w:p w14:paraId="06BC3AA5" w14:textId="57AD6C5D" w:rsidR="002E617E" w:rsidRPr="009E5DBF" w:rsidRDefault="000D1377" w:rsidP="00380179">
      <w:pPr>
        <w:tabs>
          <w:tab w:val="left" w:pos="426"/>
        </w:tabs>
        <w:rPr>
          <w:rFonts w:ascii="Book Antiqua" w:hAnsi="Book Antiqua"/>
          <w:b/>
          <w:bCs/>
          <w:sz w:val="24"/>
          <w:szCs w:val="24"/>
          <w:lang w:val="id-ID"/>
        </w:rPr>
      </w:pPr>
      <w:r w:rsidRPr="009E5DBF">
        <w:rPr>
          <w:rFonts w:ascii="Book Antiqua" w:hAnsi="Book Antiqua"/>
          <w:b/>
          <w:bCs/>
          <w:sz w:val="24"/>
          <w:szCs w:val="24"/>
        </w:rPr>
        <w:t>SIMPULAN</w:t>
      </w:r>
    </w:p>
    <w:p w14:paraId="44A8416C" w14:textId="77777777" w:rsidR="000D1377" w:rsidRPr="009E5DBF" w:rsidRDefault="000D1377" w:rsidP="00380179">
      <w:pPr>
        <w:ind w:firstLine="720"/>
        <w:contextualSpacing/>
        <w:jc w:val="both"/>
        <w:rPr>
          <w:rFonts w:ascii="Book Antiqua" w:hAnsi="Book Antiqua"/>
          <w:sz w:val="24"/>
          <w:szCs w:val="24"/>
        </w:rPr>
      </w:pPr>
      <w:proofErr w:type="spellStart"/>
      <w:r w:rsidRPr="009E5DBF">
        <w:rPr>
          <w:rFonts w:ascii="Book Antiqua" w:hAnsi="Book Antiqua"/>
          <w:sz w:val="24"/>
          <w:szCs w:val="24"/>
        </w:rPr>
        <w:t>Simpulan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merupakan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ringkasan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dari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hasil</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penelitian</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utama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sesuai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dengan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tujuan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penelitian</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telah</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ditetapkan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Apabila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ada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temuan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baru</w:t>
      </w:r>
      <w:proofErr w:type="spellEnd"/>
      <w:r w:rsidRPr="009E5DBF">
        <w:rPr>
          <w:rFonts w:ascii="Book Antiqua" w:hAnsi="Book Antiqua"/>
          <w:sz w:val="24"/>
          <w:szCs w:val="24"/>
        </w:rPr>
        <w:t xml:space="preserve"> yang </w:t>
      </w:r>
      <w:proofErr w:type="spellStart"/>
      <w:r w:rsidRPr="009E5DBF">
        <w:rPr>
          <w:rFonts w:ascii="Book Antiqua" w:hAnsi="Book Antiqua"/>
          <w:sz w:val="24"/>
          <w:szCs w:val="24"/>
        </w:rPr>
        <w:t>berbeda</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dari</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hasil</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penelitian</w:t>
      </w:r>
      <w:proofErr w:type="spellEnd"/>
      <w:r w:rsidRPr="009E5DBF">
        <w:rPr>
          <w:rFonts w:ascii="Book Antiqua" w:hAnsi="Book Antiqua"/>
          <w:sz w:val="24"/>
          <w:szCs w:val="24"/>
        </w:rPr>
        <w:t xml:space="preserve"> juga </w:t>
      </w:r>
      <w:proofErr w:type="spellStart"/>
      <w:r w:rsidRPr="009E5DBF">
        <w:rPr>
          <w:rFonts w:ascii="Book Antiqua" w:hAnsi="Book Antiqua"/>
          <w:sz w:val="24"/>
          <w:szCs w:val="24"/>
        </w:rPr>
        <w:t>dituliskan</w:t>
      </w:r>
      <w:proofErr w:type="spellEnd"/>
      <w:r w:rsidRPr="009E5DBF">
        <w:rPr>
          <w:rFonts w:ascii="Book Antiqua" w:hAnsi="Book Antiqua"/>
          <w:sz w:val="24"/>
          <w:szCs w:val="24"/>
        </w:rPr>
        <w:t xml:space="preserve"> pada </w:t>
      </w:r>
      <w:proofErr w:type="spellStart"/>
      <w:r w:rsidRPr="009E5DBF">
        <w:rPr>
          <w:rFonts w:ascii="Book Antiqua" w:hAnsi="Book Antiqua"/>
          <w:sz w:val="24"/>
          <w:szCs w:val="24"/>
        </w:rPr>
        <w:t>bagian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ini</w:t>
      </w:r>
      <w:proofErr w:type="spellEnd"/>
      <w:r w:rsidRPr="009E5DBF">
        <w:rPr>
          <w:rFonts w:ascii="Book Antiqua" w:hAnsi="Book Antiqua"/>
          <w:sz w:val="24"/>
          <w:szCs w:val="24"/>
        </w:rPr>
        <w:t xml:space="preserve">. Kesimpulan </w:t>
      </w:r>
      <w:proofErr w:type="spellStart"/>
      <w:r w:rsidRPr="009E5DBF">
        <w:rPr>
          <w:rFonts w:ascii="Book Antiqua" w:hAnsi="Book Antiqua"/>
          <w:sz w:val="24"/>
          <w:szCs w:val="24"/>
        </w:rPr>
        <w:t>dituliskan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dalam</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satu</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paragraf</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bukan</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dalam</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bentuk</w:t>
      </w:r>
      <w:proofErr w:type="spellEnd"/>
      <w:r w:rsidRPr="009E5DBF">
        <w:rPr>
          <w:rFonts w:ascii="Book Antiqua" w:hAnsi="Book Antiqua"/>
          <w:sz w:val="24"/>
          <w:szCs w:val="24"/>
        </w:rPr>
        <w:t xml:space="preserve"> </w:t>
      </w:r>
      <w:proofErr w:type="spellStart"/>
      <w:r w:rsidRPr="009E5DBF">
        <w:rPr>
          <w:rFonts w:ascii="Book Antiqua" w:hAnsi="Book Antiqua"/>
          <w:sz w:val="24"/>
          <w:szCs w:val="24"/>
        </w:rPr>
        <w:t>poin-poin</w:t>
      </w:r>
      <w:proofErr w:type="spellEnd"/>
      <w:r w:rsidRPr="009E5DBF">
        <w:rPr>
          <w:rFonts w:ascii="Book Antiqua" w:hAnsi="Book Antiqua"/>
          <w:sz w:val="24"/>
          <w:szCs w:val="24"/>
        </w:rPr>
        <w:t>.</w:t>
      </w:r>
    </w:p>
    <w:p w14:paraId="620D1307" w14:textId="77777777" w:rsidR="000D1377" w:rsidRPr="009E5DBF" w:rsidRDefault="000D1377" w:rsidP="000D1377">
      <w:pPr>
        <w:rPr>
          <w:rStyle w:val="apple-style-span"/>
          <w:rFonts w:ascii="Book Antiqua" w:hAnsi="Book Antiqua"/>
          <w:b/>
          <w:sz w:val="24"/>
          <w:szCs w:val="24"/>
          <w:lang w:val="pt-BR"/>
        </w:rPr>
      </w:pPr>
    </w:p>
    <w:p w14:paraId="0C0473DD" w14:textId="39C1FCD4" w:rsidR="002E617E" w:rsidRPr="009E5DBF" w:rsidRDefault="000D1377" w:rsidP="000D1377">
      <w:pPr>
        <w:rPr>
          <w:rStyle w:val="apple-style-span"/>
          <w:rFonts w:ascii="Book Antiqua" w:hAnsi="Book Antiqua"/>
          <w:b/>
          <w:sz w:val="24"/>
          <w:szCs w:val="24"/>
          <w:lang w:val="pt-BR"/>
        </w:rPr>
      </w:pPr>
      <w:r w:rsidRPr="009E5DBF">
        <w:rPr>
          <w:rStyle w:val="apple-style-span"/>
          <w:rFonts w:ascii="Book Antiqua" w:hAnsi="Book Antiqua"/>
          <w:b/>
          <w:sz w:val="24"/>
          <w:szCs w:val="24"/>
          <w:lang w:val="pt-BR"/>
        </w:rPr>
        <w:t>UCAPAN TERIMA KASIH</w:t>
      </w:r>
    </w:p>
    <w:p w14:paraId="0CAB33DE" w14:textId="31E6D4A4" w:rsidR="00CA5372" w:rsidRPr="00CA5372" w:rsidRDefault="00CA5372" w:rsidP="00CA5372">
      <w:pPr>
        <w:spacing w:after="100" w:afterAutospacing="1"/>
        <w:jc w:val="both"/>
        <w:rPr>
          <w:rFonts w:ascii="Book Antiqua" w:hAnsi="Book Antiqua"/>
          <w:sz w:val="24"/>
          <w:szCs w:val="24"/>
        </w:rPr>
      </w:pPr>
      <w:proofErr w:type="spellStart"/>
      <w:r w:rsidRPr="00CA5372">
        <w:rPr>
          <w:rFonts w:ascii="Book Antiqua" w:hAnsi="Book Antiqua"/>
          <w:sz w:val="24"/>
          <w:szCs w:val="24"/>
        </w:rPr>
        <w:t>Ucapan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terima</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kasih</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disampaikan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kepada</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semua</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pihak</w:t>
      </w:r>
      <w:proofErr w:type="spellEnd"/>
      <w:r w:rsidRPr="00CA5372">
        <w:rPr>
          <w:rFonts w:ascii="Book Antiqua" w:hAnsi="Book Antiqua"/>
          <w:sz w:val="24"/>
          <w:szCs w:val="24"/>
        </w:rPr>
        <w:t xml:space="preserve"> yang </w:t>
      </w:r>
      <w:proofErr w:type="spellStart"/>
      <w:r w:rsidRPr="00CA5372">
        <w:rPr>
          <w:rFonts w:ascii="Book Antiqua" w:hAnsi="Book Antiqua"/>
          <w:sz w:val="24"/>
          <w:szCs w:val="24"/>
        </w:rPr>
        <w:t>telah</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memberikan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dukungan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dalam</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penyelesaian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penelitian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ini</w:t>
      </w:r>
      <w:proofErr w:type="spellEnd"/>
      <w:r w:rsidRPr="00CA5372">
        <w:rPr>
          <w:rFonts w:ascii="Book Antiqua" w:hAnsi="Book Antiqua"/>
          <w:sz w:val="24"/>
          <w:szCs w:val="24"/>
        </w:rPr>
        <w:t xml:space="preserve"> yang </w:t>
      </w:r>
      <w:proofErr w:type="spellStart"/>
      <w:r w:rsidRPr="00CA5372">
        <w:rPr>
          <w:rFonts w:ascii="Book Antiqua" w:hAnsi="Book Antiqua"/>
          <w:sz w:val="24"/>
          <w:szCs w:val="24"/>
        </w:rPr>
        <w:t>telah</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memberikan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fasilitas</w:t>
      </w:r>
      <w:proofErr w:type="spellEnd"/>
      <w:r w:rsidRPr="00CA5372">
        <w:rPr>
          <w:rFonts w:ascii="Book Antiqua" w:hAnsi="Book Antiqua"/>
          <w:sz w:val="24"/>
          <w:szCs w:val="24"/>
        </w:rPr>
        <w:t xml:space="preserve"> dan </w:t>
      </w:r>
      <w:proofErr w:type="spellStart"/>
      <w:r w:rsidRPr="00CA5372">
        <w:rPr>
          <w:rFonts w:ascii="Book Antiqua" w:hAnsi="Book Antiqua"/>
          <w:sz w:val="24"/>
          <w:szCs w:val="24"/>
        </w:rPr>
        <w:t>sumber</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daya</w:t>
      </w:r>
      <w:proofErr w:type="spellEnd"/>
      <w:r w:rsidRPr="00CA5372">
        <w:rPr>
          <w:rFonts w:ascii="Book Antiqua" w:hAnsi="Book Antiqua"/>
          <w:sz w:val="24"/>
          <w:szCs w:val="24"/>
        </w:rPr>
        <w:t xml:space="preserve"> yang sangat </w:t>
      </w:r>
      <w:proofErr w:type="spellStart"/>
      <w:r w:rsidRPr="00CA5372">
        <w:rPr>
          <w:rFonts w:ascii="Book Antiqua" w:hAnsi="Book Antiqua"/>
          <w:sz w:val="24"/>
          <w:szCs w:val="24"/>
        </w:rPr>
        <w:t>membantu</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memberikan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bimbingan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masukan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serta</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kritik</w:t>
      </w:r>
      <w:proofErr w:type="spellEnd"/>
      <w:r w:rsidRPr="00CA5372">
        <w:rPr>
          <w:rFonts w:ascii="Book Antiqua" w:hAnsi="Book Antiqua"/>
          <w:sz w:val="24"/>
          <w:szCs w:val="24"/>
        </w:rPr>
        <w:t xml:space="preserve"> yang </w:t>
      </w:r>
      <w:proofErr w:type="spellStart"/>
      <w:r w:rsidRPr="00CA5372">
        <w:rPr>
          <w:rFonts w:ascii="Book Antiqua" w:hAnsi="Book Antiqua"/>
          <w:sz w:val="24"/>
          <w:szCs w:val="24"/>
        </w:rPr>
        <w:t>membangun</w:t>
      </w:r>
      <w:proofErr w:type="spellEnd"/>
      <w:r w:rsidRPr="00CA5372">
        <w:rPr>
          <w:rFonts w:ascii="Book Antiqua" w:hAnsi="Book Antiqua"/>
          <w:sz w:val="24"/>
          <w:szCs w:val="24"/>
        </w:rPr>
        <w:t xml:space="preserve">, yang sangat </w:t>
      </w:r>
      <w:proofErr w:type="spellStart"/>
      <w:r w:rsidRPr="00CA5372">
        <w:rPr>
          <w:rFonts w:ascii="Book Antiqua" w:hAnsi="Book Antiqua"/>
          <w:sz w:val="24"/>
          <w:szCs w:val="24"/>
        </w:rPr>
        <w:t>berperan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penting</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dalam</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meningkatkan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kualitas</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penelitian</w:t>
      </w:r>
      <w:proofErr w:type="spellEnd"/>
      <w:r w:rsidRPr="00CA5372">
        <w:rPr>
          <w:rFonts w:ascii="Book Antiqua" w:hAnsi="Book Antiqua"/>
          <w:sz w:val="24"/>
          <w:szCs w:val="24"/>
        </w:rPr>
        <w:t xml:space="preserve"> </w:t>
      </w:r>
      <w:proofErr w:type="spellStart"/>
      <w:r w:rsidRPr="00CA5372">
        <w:rPr>
          <w:rFonts w:ascii="Book Antiqua" w:hAnsi="Book Antiqua"/>
          <w:sz w:val="24"/>
          <w:szCs w:val="24"/>
        </w:rPr>
        <w:t>ini</w:t>
      </w:r>
      <w:proofErr w:type="spellEnd"/>
      <w:r w:rsidRPr="00CA5372">
        <w:rPr>
          <w:rFonts w:ascii="Book Antiqua" w:hAnsi="Book Antiqua"/>
          <w:sz w:val="24"/>
          <w:szCs w:val="24"/>
        </w:rPr>
        <w:t>.</w:t>
      </w:r>
    </w:p>
    <w:p w14:paraId="0A60B1C5" w14:textId="77777777" w:rsidR="00E17B14" w:rsidRPr="009E5DBF" w:rsidRDefault="00E17B14" w:rsidP="000D1377">
      <w:pPr>
        <w:ind w:firstLine="720"/>
        <w:jc w:val="both"/>
        <w:rPr>
          <w:rFonts w:ascii="Book Antiqua" w:hAnsi="Book Antiqua"/>
          <w:sz w:val="24"/>
          <w:szCs w:val="24"/>
        </w:rPr>
      </w:pPr>
    </w:p>
    <w:p w14:paraId="223BDA88" w14:textId="77777777" w:rsidR="00CA5372" w:rsidRDefault="00CA5372" w:rsidP="00CA5372">
      <w:pPr>
        <w:jc w:val="both"/>
        <w:rPr>
          <w:b/>
          <w:sz w:val="24"/>
          <w:szCs w:val="24"/>
        </w:rPr>
      </w:pPr>
      <w:commentRangeStart w:id="5"/>
      <w:r w:rsidRPr="00460819">
        <w:rPr>
          <w:b/>
          <w:sz w:val="24"/>
          <w:szCs w:val="24"/>
        </w:rPr>
        <w:t>REFERENSI</w:t>
      </w:r>
      <w:commentRangeEnd w:id="5"/>
      <w:r w:rsidR="00542FDA">
        <w:rPr>
          <w:rStyle w:val="ReferensiKomentar"/>
        </w:rPr>
        <w:commentReference w:id="5"/>
      </w:r>
    </w:p>
    <w:p w14:paraId="6D3B4AB3" w14:textId="77777777" w:rsidR="00CA5372" w:rsidRPr="000A716A" w:rsidRDefault="00CA5372" w:rsidP="00CA5372">
      <w:pPr>
        <w:widowControl w:val="0"/>
        <w:autoSpaceDE w:val="0"/>
        <w:autoSpaceDN w:val="0"/>
        <w:adjustRightInd w:val="0"/>
        <w:ind w:left="480" w:hanging="480"/>
        <w:jc w:val="both"/>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0A716A">
        <w:rPr>
          <w:noProof/>
          <w:sz w:val="24"/>
          <w:szCs w:val="24"/>
        </w:rPr>
        <w:t xml:space="preserve">Anggraini,  dr. S. (2021). </w:t>
      </w:r>
      <w:r w:rsidRPr="000A716A">
        <w:rPr>
          <w:i/>
          <w:iCs/>
          <w:noProof/>
          <w:sz w:val="24"/>
          <w:szCs w:val="24"/>
        </w:rPr>
        <w:t>Berapa Harga IUD dan Biaya Pasangnya?</w:t>
      </w:r>
      <w:r w:rsidRPr="000A716A">
        <w:rPr>
          <w:noProof/>
          <w:sz w:val="24"/>
          <w:szCs w:val="24"/>
        </w:rPr>
        <w:t xml:space="preserve"> Skata. https://skata.info/article/detail/1102/berapa-harga-iud-dan-biaya-pasangnya</w:t>
      </w:r>
    </w:p>
    <w:p w14:paraId="16ADB72E"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Archer, S. R., Wall, K. M., &amp; Kottke, M. J. (2024). Prenatal and Postpartum Home Visits </w:t>
      </w:r>
      <w:r w:rsidRPr="000A716A">
        <w:rPr>
          <w:noProof/>
          <w:sz w:val="24"/>
          <w:szCs w:val="24"/>
        </w:rPr>
        <w:lastRenderedPageBreak/>
        <w:t xml:space="preserve">and Postpartum Contraceptive Use: A Cross-Sectional Analysis. </w:t>
      </w:r>
      <w:r w:rsidRPr="000A716A">
        <w:rPr>
          <w:i/>
          <w:iCs/>
          <w:noProof/>
          <w:sz w:val="24"/>
          <w:szCs w:val="24"/>
        </w:rPr>
        <w:t>Journal of Women’s Health</w:t>
      </w:r>
      <w:r w:rsidRPr="000A716A">
        <w:rPr>
          <w:noProof/>
          <w:sz w:val="24"/>
          <w:szCs w:val="24"/>
        </w:rPr>
        <w:t>. https://doi.org/10.1089/jwh.2023.1115</w:t>
      </w:r>
    </w:p>
    <w:p w14:paraId="215926D2"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Bachrach, L. R., &amp; Goodman, S. (2019). </w:t>
      </w:r>
      <w:r w:rsidRPr="000A716A">
        <w:rPr>
          <w:i/>
          <w:iCs/>
          <w:noProof/>
          <w:sz w:val="24"/>
          <w:szCs w:val="24"/>
        </w:rPr>
        <w:t>Integrating IUD Provision into Your Practice: Site Preparedness, Staff Training, and Procedural Steps</w:t>
      </w:r>
      <w:r w:rsidRPr="000A716A">
        <w:rPr>
          <w:noProof/>
          <w:sz w:val="24"/>
          <w:szCs w:val="24"/>
        </w:rPr>
        <w:t>. SPRINGER LINK. https://link.springer.com/chapter/10.1007/978-3-030-17816-1_8</w:t>
      </w:r>
    </w:p>
    <w:p w14:paraId="74330839"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Belludi, N. (2021). </w:t>
      </w:r>
      <w:r w:rsidRPr="000A716A">
        <w:rPr>
          <w:i/>
          <w:iCs/>
          <w:noProof/>
          <w:sz w:val="24"/>
          <w:szCs w:val="24"/>
        </w:rPr>
        <w:t>Ask for Forgiveness, Not Permission</w:t>
      </w:r>
      <w:r w:rsidRPr="000A716A">
        <w:rPr>
          <w:noProof/>
          <w:sz w:val="24"/>
          <w:szCs w:val="24"/>
        </w:rPr>
        <w:t>. Right Attitudes.</w:t>
      </w:r>
    </w:p>
    <w:p w14:paraId="64CF6CEA"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Bhatia, P., Officer, C. A., &amp; HealthCare, G. (2024). Transforming clinical workflows: AI unveils novel patient insights. </w:t>
      </w:r>
      <w:r w:rsidRPr="000A716A">
        <w:rPr>
          <w:i/>
          <w:iCs/>
          <w:noProof/>
          <w:sz w:val="24"/>
          <w:szCs w:val="24"/>
        </w:rPr>
        <w:t>GE HealthCare</w:t>
      </w:r>
      <w:r w:rsidRPr="000A716A">
        <w:rPr>
          <w:noProof/>
          <w:sz w:val="24"/>
          <w:szCs w:val="24"/>
        </w:rPr>
        <w:t>. https://www.gehealthcare.com/insights/article/transforming-clinical-workflows-ai-unveils-novel-patient-insights</w:t>
      </w:r>
    </w:p>
    <w:p w14:paraId="049230BE"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Bonawitz, K., Wetmore, M., Heisler, M., Dalton, V. K., Damschroder, L. J., Forman, J., Allan, K. R., &amp; Moniz, M. H. (2020). Champions in context: Which attributes matter for change efforts in healthcare? </w:t>
      </w:r>
      <w:r w:rsidRPr="000A716A">
        <w:rPr>
          <w:i/>
          <w:iCs/>
          <w:noProof/>
          <w:sz w:val="24"/>
          <w:szCs w:val="24"/>
        </w:rPr>
        <w:t>Implementation Science</w:t>
      </w:r>
      <w:r w:rsidRPr="000A716A">
        <w:rPr>
          <w:noProof/>
          <w:sz w:val="24"/>
          <w:szCs w:val="24"/>
        </w:rPr>
        <w:t xml:space="preserve">, </w:t>
      </w:r>
      <w:r w:rsidRPr="000A716A">
        <w:rPr>
          <w:i/>
          <w:iCs/>
          <w:noProof/>
          <w:sz w:val="24"/>
          <w:szCs w:val="24"/>
        </w:rPr>
        <w:t>15</w:t>
      </w:r>
      <w:r w:rsidRPr="000A716A">
        <w:rPr>
          <w:noProof/>
          <w:sz w:val="24"/>
          <w:szCs w:val="24"/>
        </w:rPr>
        <w:t>(1), 1–10. https://doi.org/10.1186/s13012-020-01024-9</w:t>
      </w:r>
    </w:p>
    <w:p w14:paraId="7764936E"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Boydell, N., Cooper, M., Cameron, S. T., Glasier, A., Coutts, S., McGuire, F., &amp; Harden, J. (2022). Perspectives of obstetricians and midwives on the provision of immediate postpartum intrauterine devices: a qualitative service evaluation. </w:t>
      </w:r>
      <w:r w:rsidRPr="000A716A">
        <w:rPr>
          <w:i/>
          <w:iCs/>
          <w:noProof/>
          <w:sz w:val="24"/>
          <w:szCs w:val="24"/>
        </w:rPr>
        <w:t>BMJ Sexual and Reproductive Health</w:t>
      </w:r>
      <w:r w:rsidRPr="000A716A">
        <w:rPr>
          <w:noProof/>
          <w:sz w:val="24"/>
          <w:szCs w:val="24"/>
        </w:rPr>
        <w:t xml:space="preserve">, </w:t>
      </w:r>
      <w:r w:rsidRPr="000A716A">
        <w:rPr>
          <w:i/>
          <w:iCs/>
          <w:noProof/>
          <w:sz w:val="24"/>
          <w:szCs w:val="24"/>
        </w:rPr>
        <w:t>48</w:t>
      </w:r>
      <w:r w:rsidRPr="000A716A">
        <w:rPr>
          <w:noProof/>
          <w:sz w:val="24"/>
          <w:szCs w:val="24"/>
        </w:rPr>
        <w:t>(2), 85–92. https://doi.org/10.1136/bmjsrh-2021-201170</w:t>
      </w:r>
    </w:p>
    <w:p w14:paraId="6878DBD1"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Brewington, M. K., Queen, T. L., Heisler-MacKinnon, J., Calo, W. A., Weaver, S., Barry, C., Kong, W. Y., Kennedy, K. L., Shea, C. M., &amp; Gilkey, M. B. (2024). Who are vaccine champions and what implementation strategies do they use to improve adolescent HPV vaccination? Findings from a national survey of primary care professionals. </w:t>
      </w:r>
      <w:r w:rsidRPr="000A716A">
        <w:rPr>
          <w:i/>
          <w:iCs/>
          <w:noProof/>
          <w:sz w:val="24"/>
          <w:szCs w:val="24"/>
        </w:rPr>
        <w:t>Implementation Science Communications</w:t>
      </w:r>
      <w:r w:rsidRPr="000A716A">
        <w:rPr>
          <w:noProof/>
          <w:sz w:val="24"/>
          <w:szCs w:val="24"/>
        </w:rPr>
        <w:t xml:space="preserve">, </w:t>
      </w:r>
      <w:r w:rsidRPr="000A716A">
        <w:rPr>
          <w:i/>
          <w:iCs/>
          <w:noProof/>
          <w:sz w:val="24"/>
          <w:szCs w:val="24"/>
        </w:rPr>
        <w:t>5</w:t>
      </w:r>
      <w:r w:rsidRPr="000A716A">
        <w:rPr>
          <w:noProof/>
          <w:sz w:val="24"/>
          <w:szCs w:val="24"/>
        </w:rPr>
        <w:t>(1). https://doi.org/10.1186/s43058-024-00557-0</w:t>
      </w:r>
    </w:p>
    <w:p w14:paraId="7F95E0AD"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Cosgriff, L., Plummer, M., Concepcion, G., &amp; Danvers, A. A. (2024). Outcomes for Women Denied Postpartum Tubal Ligation During the Initial COVID-19 Surge. </w:t>
      </w:r>
      <w:r w:rsidRPr="000A716A">
        <w:rPr>
          <w:i/>
          <w:iCs/>
          <w:noProof/>
          <w:sz w:val="24"/>
          <w:szCs w:val="24"/>
        </w:rPr>
        <w:t>Women’s Health Reports</w:t>
      </w:r>
      <w:r w:rsidRPr="000A716A">
        <w:rPr>
          <w:noProof/>
          <w:sz w:val="24"/>
          <w:szCs w:val="24"/>
        </w:rPr>
        <w:t xml:space="preserve">, </w:t>
      </w:r>
      <w:r w:rsidRPr="000A716A">
        <w:rPr>
          <w:i/>
          <w:iCs/>
          <w:noProof/>
          <w:sz w:val="24"/>
          <w:szCs w:val="24"/>
        </w:rPr>
        <w:t>5</w:t>
      </w:r>
      <w:r w:rsidRPr="000A716A">
        <w:rPr>
          <w:noProof/>
          <w:sz w:val="24"/>
          <w:szCs w:val="24"/>
        </w:rPr>
        <w:t>(1), 352–357. https://doi.org/10.1089/whr.2023.0142</w:t>
      </w:r>
    </w:p>
    <w:p w14:paraId="33D94170"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Daw, J. R., Maccallum-Bridges, C. L., Kozhimannil, K. B., &amp; Admon, L. K. (2024). Continuous Medicaid Eligibility during the COVID-19 Pandemic and Postpartum Coverage, Health Care, and Outcomes. </w:t>
      </w:r>
      <w:r w:rsidRPr="000A716A">
        <w:rPr>
          <w:i/>
          <w:iCs/>
          <w:noProof/>
          <w:sz w:val="24"/>
          <w:szCs w:val="24"/>
        </w:rPr>
        <w:t>JAMA Health Forum</w:t>
      </w:r>
      <w:r w:rsidRPr="000A716A">
        <w:rPr>
          <w:noProof/>
          <w:sz w:val="24"/>
          <w:szCs w:val="24"/>
        </w:rPr>
        <w:t xml:space="preserve">, </w:t>
      </w:r>
      <w:r w:rsidRPr="000A716A">
        <w:rPr>
          <w:i/>
          <w:iCs/>
          <w:noProof/>
          <w:sz w:val="24"/>
          <w:szCs w:val="24"/>
        </w:rPr>
        <w:t>5</w:t>
      </w:r>
      <w:r w:rsidRPr="000A716A">
        <w:rPr>
          <w:noProof/>
          <w:sz w:val="24"/>
          <w:szCs w:val="24"/>
        </w:rPr>
        <w:t>(3), E240004. https://doi.org/10.1001/jamahealthforum.2024.0004</w:t>
      </w:r>
    </w:p>
    <w:p w14:paraId="30B03171"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Dennis, P., &amp; Michelle, R. P. (2024, June 15). </w:t>
      </w:r>
      <w:r w:rsidRPr="000A716A">
        <w:rPr>
          <w:i/>
          <w:iCs/>
          <w:noProof/>
          <w:sz w:val="24"/>
          <w:szCs w:val="24"/>
        </w:rPr>
        <w:t>Why Leadership Trust Is Critical, Especially in Times of Change and Disruption</w:t>
      </w:r>
      <w:r w:rsidRPr="000A716A">
        <w:rPr>
          <w:noProof/>
          <w:sz w:val="24"/>
          <w:szCs w:val="24"/>
        </w:rPr>
        <w:t>.</w:t>
      </w:r>
    </w:p>
    <w:p w14:paraId="72658806"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Duckworth, M., Garfield, C. F., Santiago, J. E., Gollan, J., O’Sullivan, K., Williams, D., Lee, Y., Muhammad, L. N., &amp; Miller, E. S. (2024). The design and implementation of a multi-center, pragmatic, individual-level randomized controlled trial to evaluate Baby2Home, an mHealth intervention to support new parents. </w:t>
      </w:r>
      <w:r w:rsidRPr="000A716A">
        <w:rPr>
          <w:i/>
          <w:iCs/>
          <w:noProof/>
          <w:sz w:val="24"/>
          <w:szCs w:val="24"/>
        </w:rPr>
        <w:t>Contemporary Clinical Trials</w:t>
      </w:r>
      <w:r w:rsidRPr="000A716A">
        <w:rPr>
          <w:noProof/>
          <w:sz w:val="24"/>
          <w:szCs w:val="24"/>
        </w:rPr>
        <w:t xml:space="preserve">, </w:t>
      </w:r>
      <w:r w:rsidRPr="000A716A">
        <w:rPr>
          <w:i/>
          <w:iCs/>
          <w:noProof/>
          <w:sz w:val="24"/>
          <w:szCs w:val="24"/>
        </w:rPr>
        <w:t>142</w:t>
      </w:r>
      <w:r w:rsidRPr="000A716A">
        <w:rPr>
          <w:noProof/>
          <w:sz w:val="24"/>
          <w:szCs w:val="24"/>
        </w:rPr>
        <w:t>. https://doi.org/10.1016/j.cct.2024.107571</w:t>
      </w:r>
    </w:p>
    <w:p w14:paraId="3C20556D"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Gage, A. J., Wood, F. E., Gay, R., &amp; Akilimali, P. (2024). Effects of the Momentum project on postpartum family planning norms and behaviors among married and unmarried adolescent and young first-time mothers in Kinshasa: A quasi-experimental study. </w:t>
      </w:r>
      <w:r w:rsidRPr="000A716A">
        <w:rPr>
          <w:i/>
          <w:iCs/>
          <w:noProof/>
          <w:sz w:val="24"/>
          <w:szCs w:val="24"/>
        </w:rPr>
        <w:t>PLoS ONE</w:t>
      </w:r>
      <w:r w:rsidRPr="000A716A">
        <w:rPr>
          <w:noProof/>
          <w:sz w:val="24"/>
          <w:szCs w:val="24"/>
        </w:rPr>
        <w:t xml:space="preserve">, </w:t>
      </w:r>
      <w:r w:rsidRPr="000A716A">
        <w:rPr>
          <w:i/>
          <w:iCs/>
          <w:noProof/>
          <w:sz w:val="24"/>
          <w:szCs w:val="24"/>
        </w:rPr>
        <w:t>19</w:t>
      </w:r>
      <w:r w:rsidRPr="000A716A">
        <w:rPr>
          <w:noProof/>
          <w:sz w:val="24"/>
          <w:szCs w:val="24"/>
        </w:rPr>
        <w:t>(3 March). https://doi.org/10.1371/journal.pone.0300342</w:t>
      </w:r>
    </w:p>
    <w:p w14:paraId="3F7A0B31"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Galvin, A. M., Akpan, I. N., Lewis, M. A., Walters, S. T., &amp; Thompson, E. L. (2024). Reproductive Interconception Care Among Women Recently Pregnant and Homeless: A Qualitative Analysis. </w:t>
      </w:r>
      <w:r w:rsidRPr="000A716A">
        <w:rPr>
          <w:i/>
          <w:iCs/>
          <w:noProof/>
          <w:sz w:val="24"/>
          <w:szCs w:val="24"/>
        </w:rPr>
        <w:t>Health Education and Behavior</w:t>
      </w:r>
      <w:r w:rsidRPr="000A716A">
        <w:rPr>
          <w:noProof/>
          <w:sz w:val="24"/>
          <w:szCs w:val="24"/>
        </w:rPr>
        <w:t xml:space="preserve">, </w:t>
      </w:r>
      <w:r w:rsidRPr="000A716A">
        <w:rPr>
          <w:i/>
          <w:iCs/>
          <w:noProof/>
          <w:sz w:val="24"/>
          <w:szCs w:val="24"/>
        </w:rPr>
        <w:t>51</w:t>
      </w:r>
      <w:r w:rsidRPr="000A716A">
        <w:rPr>
          <w:noProof/>
          <w:sz w:val="24"/>
          <w:szCs w:val="24"/>
        </w:rPr>
        <w:t>(2), 302–310. https://doi.org/10.1177/10901981231204583</w:t>
      </w:r>
    </w:p>
    <w:p w14:paraId="480C3369"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Gifford, K., McColl, R., McDuffie, M. J., &amp; Boudreaux, M. (2024). Postpartum long-acting reversible contraceptive adoption after a statewide initiative. </w:t>
      </w:r>
      <w:r w:rsidRPr="000A716A">
        <w:rPr>
          <w:i/>
          <w:iCs/>
          <w:noProof/>
          <w:sz w:val="24"/>
          <w:szCs w:val="24"/>
        </w:rPr>
        <w:t>Health Services Research</w:t>
      </w:r>
      <w:r w:rsidRPr="000A716A">
        <w:rPr>
          <w:noProof/>
          <w:sz w:val="24"/>
          <w:szCs w:val="24"/>
        </w:rPr>
        <w:t xml:space="preserve">, </w:t>
      </w:r>
      <w:r w:rsidRPr="000A716A">
        <w:rPr>
          <w:i/>
          <w:iCs/>
          <w:noProof/>
          <w:sz w:val="24"/>
          <w:szCs w:val="24"/>
        </w:rPr>
        <w:t>59</w:t>
      </w:r>
      <w:r w:rsidRPr="000A716A">
        <w:rPr>
          <w:noProof/>
          <w:sz w:val="24"/>
          <w:szCs w:val="24"/>
        </w:rPr>
        <w:t>(3). https://doi.org/10.1111/1475-6773.14300</w:t>
      </w:r>
    </w:p>
    <w:p w14:paraId="171D3078"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Gynecologists, A. C. of O. and. (2024). Permanent Contraception: Ethical Issues and </w:t>
      </w:r>
      <w:r w:rsidRPr="000A716A">
        <w:rPr>
          <w:noProof/>
          <w:sz w:val="24"/>
          <w:szCs w:val="24"/>
        </w:rPr>
        <w:lastRenderedPageBreak/>
        <w:t xml:space="preserve">Considerations. </w:t>
      </w:r>
      <w:r w:rsidRPr="000A716A">
        <w:rPr>
          <w:i/>
          <w:iCs/>
          <w:noProof/>
          <w:sz w:val="24"/>
          <w:szCs w:val="24"/>
        </w:rPr>
        <w:t>Obstetrics and Gynecology</w:t>
      </w:r>
      <w:r w:rsidRPr="000A716A">
        <w:rPr>
          <w:noProof/>
          <w:sz w:val="24"/>
          <w:szCs w:val="24"/>
        </w:rPr>
        <w:t xml:space="preserve">, </w:t>
      </w:r>
      <w:r w:rsidRPr="000A716A">
        <w:rPr>
          <w:i/>
          <w:iCs/>
          <w:noProof/>
          <w:sz w:val="24"/>
          <w:szCs w:val="24"/>
        </w:rPr>
        <w:t>143</w:t>
      </w:r>
      <w:r w:rsidRPr="000A716A">
        <w:rPr>
          <w:noProof/>
          <w:sz w:val="24"/>
          <w:szCs w:val="24"/>
        </w:rPr>
        <w:t>(2), E31–E39. https://doi.org/10.1097/AOG.0000000000005474</w:t>
      </w:r>
    </w:p>
    <w:p w14:paraId="55D91F98"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Hensel, D., Helou, N. El, Zhang, F., Stout, M. J., Raghuraman, N., Friedman, H., Carter, E., Odibo, A. O., &amp; Kelly, J. C. (2024). The Impact of a Multidisciplinary Opioid Use Disorder Prenatal Clinic on Breastfeeding Rates and Postpartum Care. </w:t>
      </w:r>
      <w:r w:rsidRPr="000A716A">
        <w:rPr>
          <w:i/>
          <w:iCs/>
          <w:noProof/>
          <w:sz w:val="24"/>
          <w:szCs w:val="24"/>
        </w:rPr>
        <w:t>American Journal of Perinatology</w:t>
      </w:r>
      <w:r w:rsidRPr="000A716A">
        <w:rPr>
          <w:noProof/>
          <w:sz w:val="24"/>
          <w:szCs w:val="24"/>
        </w:rPr>
        <w:t xml:space="preserve">, </w:t>
      </w:r>
      <w:r w:rsidRPr="000A716A">
        <w:rPr>
          <w:i/>
          <w:iCs/>
          <w:noProof/>
          <w:sz w:val="24"/>
          <w:szCs w:val="24"/>
        </w:rPr>
        <w:t>41</w:t>
      </w:r>
      <w:r w:rsidRPr="000A716A">
        <w:rPr>
          <w:noProof/>
          <w:sz w:val="24"/>
          <w:szCs w:val="24"/>
        </w:rPr>
        <w:t>(7), 884–890. https://doi.org/10.1055/s-0042-1748526</w:t>
      </w:r>
    </w:p>
    <w:p w14:paraId="059DE64F"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Hopkin, M. (2024). </w:t>
      </w:r>
      <w:r w:rsidRPr="000A716A">
        <w:rPr>
          <w:i/>
          <w:iCs/>
          <w:noProof/>
          <w:sz w:val="24"/>
          <w:szCs w:val="24"/>
        </w:rPr>
        <w:t>Leadership Enthusiasm: The Right Attitude</w:t>
      </w:r>
      <w:r w:rsidRPr="000A716A">
        <w:rPr>
          <w:noProof/>
          <w:sz w:val="24"/>
          <w:szCs w:val="24"/>
        </w:rPr>
        <w:t>. AboutLeaders. https://aboutleaders.com/leadership-and-enthusiasm/</w:t>
      </w:r>
    </w:p>
    <w:p w14:paraId="1599213F"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Hopkins, K., Remington, C., Eilers, M. A., Rivas, S. D., Wallace Huff, C., Moore, L. D., Hampton, R. M., &amp; Ogburn, T. (2022). Obtaining buy-in for immediate postpartum long-acting reversible contraception programs in Texas hospitals: A qualitative study. </w:t>
      </w:r>
      <w:r w:rsidRPr="000A716A">
        <w:rPr>
          <w:i/>
          <w:iCs/>
          <w:noProof/>
          <w:sz w:val="24"/>
          <w:szCs w:val="24"/>
        </w:rPr>
        <w:t>Contraception</w:t>
      </w:r>
      <w:r w:rsidRPr="000A716A">
        <w:rPr>
          <w:noProof/>
          <w:sz w:val="24"/>
          <w:szCs w:val="24"/>
        </w:rPr>
        <w:t xml:space="preserve">, </w:t>
      </w:r>
      <w:r w:rsidRPr="000A716A">
        <w:rPr>
          <w:i/>
          <w:iCs/>
          <w:noProof/>
          <w:sz w:val="24"/>
          <w:szCs w:val="24"/>
        </w:rPr>
        <w:t>108</w:t>
      </w:r>
      <w:r w:rsidRPr="000A716A">
        <w:rPr>
          <w:noProof/>
          <w:sz w:val="24"/>
          <w:szCs w:val="24"/>
        </w:rPr>
        <w:t>, 32–36. https://doi.org/10.1016/j.contraception.2021.10.016</w:t>
      </w:r>
    </w:p>
    <w:p w14:paraId="2E9D185F"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Isikhuemen, M. E., Idolor, A. G., Uwagboe, C. U., Sodje, J. D. K., Anya, C. J., &amp; Okonofua, F. E. (2024). Case report of an unusual finding of intrauterine contraceptive device in the rectum. </w:t>
      </w:r>
      <w:r w:rsidRPr="000A716A">
        <w:rPr>
          <w:i/>
          <w:iCs/>
          <w:noProof/>
          <w:sz w:val="24"/>
          <w:szCs w:val="24"/>
        </w:rPr>
        <w:t>International Journal of Surgery Case Reports</w:t>
      </w:r>
      <w:r w:rsidRPr="000A716A">
        <w:rPr>
          <w:noProof/>
          <w:sz w:val="24"/>
          <w:szCs w:val="24"/>
        </w:rPr>
        <w:t xml:space="preserve">, </w:t>
      </w:r>
      <w:r w:rsidRPr="000A716A">
        <w:rPr>
          <w:i/>
          <w:iCs/>
          <w:noProof/>
          <w:sz w:val="24"/>
          <w:szCs w:val="24"/>
        </w:rPr>
        <w:t>116</w:t>
      </w:r>
      <w:r w:rsidRPr="000A716A">
        <w:rPr>
          <w:noProof/>
          <w:sz w:val="24"/>
          <w:szCs w:val="24"/>
        </w:rPr>
        <w:t>. https://doi.org/10.1016/j.ijscr.2024.109436</w:t>
      </w:r>
    </w:p>
    <w:p w14:paraId="5BBCCDFA"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Jahanfar, S., Maurer, O., Lapidow, A., Oberoi, A. R., Steinfeldt, M., &amp; Ali, M. (2024). A meta-analysis into the mediatory effects of family planning utilization on complications of pregnancy in women of reproductive age. </w:t>
      </w:r>
      <w:r w:rsidRPr="000A716A">
        <w:rPr>
          <w:i/>
          <w:iCs/>
          <w:noProof/>
          <w:sz w:val="24"/>
          <w:szCs w:val="24"/>
        </w:rPr>
        <w:t>PLoS ONE</w:t>
      </w:r>
      <w:r w:rsidRPr="000A716A">
        <w:rPr>
          <w:noProof/>
          <w:sz w:val="24"/>
          <w:szCs w:val="24"/>
        </w:rPr>
        <w:t xml:space="preserve">, </w:t>
      </w:r>
      <w:r w:rsidRPr="000A716A">
        <w:rPr>
          <w:i/>
          <w:iCs/>
          <w:noProof/>
          <w:sz w:val="24"/>
          <w:szCs w:val="24"/>
        </w:rPr>
        <w:t>19</w:t>
      </w:r>
      <w:r w:rsidRPr="000A716A">
        <w:rPr>
          <w:noProof/>
          <w:sz w:val="24"/>
          <w:szCs w:val="24"/>
        </w:rPr>
        <w:t>(3 March). https://doi.org/10.1371/journal.pone.0294475</w:t>
      </w:r>
    </w:p>
    <w:p w14:paraId="7536C503"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Kartika, D. (2023). </w:t>
      </w:r>
      <w:r w:rsidRPr="000A716A">
        <w:rPr>
          <w:i/>
          <w:iCs/>
          <w:noProof/>
          <w:sz w:val="24"/>
          <w:szCs w:val="24"/>
        </w:rPr>
        <w:t>Update Harga IUD Andalan (Strip dan Box)</w:t>
      </w:r>
      <w:r w:rsidRPr="000A716A">
        <w:rPr>
          <w:noProof/>
          <w:sz w:val="24"/>
          <w:szCs w:val="24"/>
        </w:rPr>
        <w:t>. https://harga.web.id/harga-iud-andalan-merk-jenis.info</w:t>
      </w:r>
    </w:p>
    <w:p w14:paraId="5130F215"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Kawatu, J., Clark, M., Saul, K., Quimby, K. D. A., Whitten, A., Nelson, S., Potter, K., &amp; Kaplan, D. L. (2022). Increasing access to single-visit contraception in urban health care settings: Findings from a multi-site learning collaborative. </w:t>
      </w:r>
      <w:r w:rsidRPr="000A716A">
        <w:rPr>
          <w:i/>
          <w:iCs/>
          <w:noProof/>
          <w:sz w:val="24"/>
          <w:szCs w:val="24"/>
        </w:rPr>
        <w:t>Contraception</w:t>
      </w:r>
      <w:r w:rsidRPr="000A716A">
        <w:rPr>
          <w:noProof/>
          <w:sz w:val="24"/>
          <w:szCs w:val="24"/>
        </w:rPr>
        <w:t xml:space="preserve">, </w:t>
      </w:r>
      <w:r w:rsidRPr="000A716A">
        <w:rPr>
          <w:i/>
          <w:iCs/>
          <w:noProof/>
          <w:sz w:val="24"/>
          <w:szCs w:val="24"/>
        </w:rPr>
        <w:t>108</w:t>
      </w:r>
      <w:r w:rsidRPr="000A716A">
        <w:rPr>
          <w:noProof/>
          <w:sz w:val="24"/>
          <w:szCs w:val="24"/>
        </w:rPr>
        <w:t>, 25–31. https://doi.org/10.1016/j.contraception.2021.12.005</w:t>
      </w:r>
    </w:p>
    <w:p w14:paraId="5DC40258"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Kumar, S., Srivastava, A., Sharma, S., Yadav, V., Mittal, A., Kim, Y. M., Nash-Mercado, A., Reijneveld, S. A., &amp; Sood, B. (2019). One-year continuation of postpartum intrauterine contraceptive device: findings from a retrospective cohort study in India. </w:t>
      </w:r>
      <w:r w:rsidRPr="000A716A">
        <w:rPr>
          <w:i/>
          <w:iCs/>
          <w:noProof/>
          <w:sz w:val="24"/>
          <w:szCs w:val="24"/>
        </w:rPr>
        <w:t>Contraception</w:t>
      </w:r>
      <w:r w:rsidRPr="000A716A">
        <w:rPr>
          <w:noProof/>
          <w:sz w:val="24"/>
          <w:szCs w:val="24"/>
        </w:rPr>
        <w:t xml:space="preserve">, </w:t>
      </w:r>
      <w:r w:rsidRPr="000A716A">
        <w:rPr>
          <w:i/>
          <w:iCs/>
          <w:noProof/>
          <w:sz w:val="24"/>
          <w:szCs w:val="24"/>
        </w:rPr>
        <w:t>99</w:t>
      </w:r>
      <w:r w:rsidRPr="000A716A">
        <w:rPr>
          <w:noProof/>
          <w:sz w:val="24"/>
          <w:szCs w:val="24"/>
        </w:rPr>
        <w:t>(4), 212–216. https://doi.org/10.1016/j.contraception.2018.12.003</w:t>
      </w:r>
    </w:p>
    <w:p w14:paraId="439AC754"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Kyngäs, H. (2019). </w:t>
      </w:r>
      <w:r w:rsidRPr="000A716A">
        <w:rPr>
          <w:i/>
          <w:iCs/>
          <w:noProof/>
          <w:sz w:val="24"/>
          <w:szCs w:val="24"/>
        </w:rPr>
        <w:t>Inductive Content Analysis</w:t>
      </w:r>
      <w:r w:rsidRPr="000A716A">
        <w:rPr>
          <w:noProof/>
          <w:sz w:val="24"/>
          <w:szCs w:val="24"/>
        </w:rPr>
        <w:t>. https://link.springer.com/chapter/10.1007/978-3-030-30199-6_2</w:t>
      </w:r>
    </w:p>
    <w:p w14:paraId="23DDC7CB"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Lewis, A. (2022). </w:t>
      </w:r>
      <w:r w:rsidRPr="000A716A">
        <w:rPr>
          <w:i/>
          <w:iCs/>
          <w:noProof/>
          <w:sz w:val="24"/>
          <w:szCs w:val="24"/>
        </w:rPr>
        <w:t>Good Leadership? It All Starts With Trust.</w:t>
      </w:r>
      <w:r w:rsidRPr="000A716A">
        <w:rPr>
          <w:noProof/>
          <w:sz w:val="24"/>
          <w:szCs w:val="24"/>
        </w:rPr>
        <w:t xml:space="preserve"> Harvard Business Publishing. https://www.harvardbusiness.org/good-leadership-it-all-starts-with-trust/</w:t>
      </w:r>
    </w:p>
    <w:p w14:paraId="0E468E44"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Masters, G. A., Julce, C., Carroll, S., Person, S. D., Allison, J., Byatt, N., &amp; Moore Simas, T. A. (2024). Association of perinatal depression and postpartum contraception intent, choice, and actual use. </w:t>
      </w:r>
      <w:r w:rsidRPr="000A716A">
        <w:rPr>
          <w:i/>
          <w:iCs/>
          <w:noProof/>
          <w:sz w:val="24"/>
          <w:szCs w:val="24"/>
        </w:rPr>
        <w:t>Contraception</w:t>
      </w:r>
      <w:r w:rsidRPr="000A716A">
        <w:rPr>
          <w:noProof/>
          <w:sz w:val="24"/>
          <w:szCs w:val="24"/>
        </w:rPr>
        <w:t xml:space="preserve">, </w:t>
      </w:r>
      <w:r w:rsidRPr="000A716A">
        <w:rPr>
          <w:i/>
          <w:iCs/>
          <w:noProof/>
          <w:sz w:val="24"/>
          <w:szCs w:val="24"/>
        </w:rPr>
        <w:t>135</w:t>
      </w:r>
      <w:r w:rsidRPr="000A716A">
        <w:rPr>
          <w:noProof/>
          <w:sz w:val="24"/>
          <w:szCs w:val="24"/>
        </w:rPr>
        <w:t>. https://doi.org/10.1016/j.contraception.2024.110447</w:t>
      </w:r>
    </w:p>
    <w:p w14:paraId="43CC802C"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Meireles Castro Maia, E., Autran Coelho Peixoto, R., &amp; Aparecida Falbo Guazzelli, C. (2024). Choice and factors associated to the use of contraceptive methods among postpartum women: A prospective cohort study. </w:t>
      </w:r>
      <w:r w:rsidRPr="000A716A">
        <w:rPr>
          <w:i/>
          <w:iCs/>
          <w:noProof/>
          <w:sz w:val="24"/>
          <w:szCs w:val="24"/>
        </w:rPr>
        <w:t>European Journal of Obstetrics and Gynecology and Reproductive Biology</w:t>
      </w:r>
      <w:r w:rsidRPr="000A716A">
        <w:rPr>
          <w:noProof/>
          <w:sz w:val="24"/>
          <w:szCs w:val="24"/>
        </w:rPr>
        <w:t xml:space="preserve">, </w:t>
      </w:r>
      <w:r w:rsidRPr="000A716A">
        <w:rPr>
          <w:i/>
          <w:iCs/>
          <w:noProof/>
          <w:sz w:val="24"/>
          <w:szCs w:val="24"/>
        </w:rPr>
        <w:t>298</w:t>
      </w:r>
      <w:r w:rsidRPr="000A716A">
        <w:rPr>
          <w:noProof/>
          <w:sz w:val="24"/>
          <w:szCs w:val="24"/>
        </w:rPr>
        <w:t>, 1–5. https://doi.org/10.1016/j.ejogrb.2024.04.038</w:t>
      </w:r>
    </w:p>
    <w:p w14:paraId="175DFE0A"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Mohammed, H. M., Zaky, M. A., &amp; Hany, A. M. (2024). Postpartum family planning among women attending maternal and child health centers in Assiut Governorate, Upper Egypt. </w:t>
      </w:r>
      <w:r w:rsidRPr="000A716A">
        <w:rPr>
          <w:i/>
          <w:iCs/>
          <w:noProof/>
          <w:sz w:val="24"/>
          <w:szCs w:val="24"/>
        </w:rPr>
        <w:t>Journal of the Egyptian Public Health Association</w:t>
      </w:r>
      <w:r w:rsidRPr="000A716A">
        <w:rPr>
          <w:noProof/>
          <w:sz w:val="24"/>
          <w:szCs w:val="24"/>
        </w:rPr>
        <w:t xml:space="preserve">, </w:t>
      </w:r>
      <w:r w:rsidRPr="000A716A">
        <w:rPr>
          <w:i/>
          <w:iCs/>
          <w:noProof/>
          <w:sz w:val="24"/>
          <w:szCs w:val="24"/>
        </w:rPr>
        <w:t>99</w:t>
      </w:r>
      <w:r w:rsidRPr="000A716A">
        <w:rPr>
          <w:noProof/>
          <w:sz w:val="24"/>
          <w:szCs w:val="24"/>
        </w:rPr>
        <w:t>(1). https://doi.org/10.1186/s42506-024-00160-0</w:t>
      </w:r>
    </w:p>
    <w:p w14:paraId="0BE7883F"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Morena, A. L., Gaias, L. M., &amp; Larkin, C. (2022). Understanding the Role of Clinical Champions and Their Impact on Clinician Behavior Change: The Need for Causal </w:t>
      </w:r>
      <w:r w:rsidRPr="000A716A">
        <w:rPr>
          <w:noProof/>
          <w:sz w:val="24"/>
          <w:szCs w:val="24"/>
        </w:rPr>
        <w:lastRenderedPageBreak/>
        <w:t xml:space="preserve">Pathway Mechanisms. </w:t>
      </w:r>
      <w:r w:rsidRPr="000A716A">
        <w:rPr>
          <w:i/>
          <w:iCs/>
          <w:noProof/>
          <w:sz w:val="24"/>
          <w:szCs w:val="24"/>
        </w:rPr>
        <w:t>Frontiers in Health Services</w:t>
      </w:r>
      <w:r w:rsidRPr="000A716A">
        <w:rPr>
          <w:noProof/>
          <w:sz w:val="24"/>
          <w:szCs w:val="24"/>
        </w:rPr>
        <w:t xml:space="preserve">, </w:t>
      </w:r>
      <w:r w:rsidRPr="000A716A">
        <w:rPr>
          <w:i/>
          <w:iCs/>
          <w:noProof/>
          <w:sz w:val="24"/>
          <w:szCs w:val="24"/>
        </w:rPr>
        <w:t>2</w:t>
      </w:r>
      <w:r w:rsidRPr="000A716A">
        <w:rPr>
          <w:noProof/>
          <w:sz w:val="24"/>
          <w:szCs w:val="24"/>
        </w:rPr>
        <w:t>(July), 1–14. https://doi.org/10.3389/frhs.2022.896885</w:t>
      </w:r>
    </w:p>
    <w:p w14:paraId="4C629EB8"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Murphy, E., Pelletier, A., Fay, K., &amp; Bartz, D. (2024). National Postpartum Permanent Contraception Practices and Perceived Barriers. </w:t>
      </w:r>
      <w:r w:rsidRPr="000A716A">
        <w:rPr>
          <w:i/>
          <w:iCs/>
          <w:noProof/>
          <w:sz w:val="24"/>
          <w:szCs w:val="24"/>
        </w:rPr>
        <w:t>Obstetrics &amp; Gynecology</w:t>
      </w:r>
      <w:r w:rsidRPr="000A716A">
        <w:rPr>
          <w:noProof/>
          <w:sz w:val="24"/>
          <w:szCs w:val="24"/>
        </w:rPr>
        <w:t xml:space="preserve">, </w:t>
      </w:r>
      <w:r w:rsidRPr="000A716A">
        <w:rPr>
          <w:i/>
          <w:iCs/>
          <w:noProof/>
          <w:sz w:val="24"/>
          <w:szCs w:val="24"/>
        </w:rPr>
        <w:t>143</w:t>
      </w:r>
      <w:r w:rsidRPr="000A716A">
        <w:rPr>
          <w:noProof/>
          <w:sz w:val="24"/>
          <w:szCs w:val="24"/>
        </w:rPr>
        <w:t>(6), 835–838. https://doi.org/10.1097/aog.0000000000005584</w:t>
      </w:r>
    </w:p>
    <w:p w14:paraId="7E6FDDC5"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Nevedal, A. L., Reardon, C. M., Opra Widerquist, M. A., Jackson, G. L., Cutrona, S. L., White, B. S., &amp; Damschroder, L. J. (2021). Rapid versus traditional qualitative analysis using the Consolidated Framework for Implementation Research (CFIR). </w:t>
      </w:r>
      <w:r w:rsidRPr="000A716A">
        <w:rPr>
          <w:i/>
          <w:iCs/>
          <w:noProof/>
          <w:sz w:val="24"/>
          <w:szCs w:val="24"/>
        </w:rPr>
        <w:t>Implementation Science</w:t>
      </w:r>
      <w:r w:rsidRPr="000A716A">
        <w:rPr>
          <w:noProof/>
          <w:sz w:val="24"/>
          <w:szCs w:val="24"/>
        </w:rPr>
        <w:t xml:space="preserve">, </w:t>
      </w:r>
      <w:r w:rsidRPr="000A716A">
        <w:rPr>
          <w:i/>
          <w:iCs/>
          <w:noProof/>
          <w:sz w:val="24"/>
          <w:szCs w:val="24"/>
        </w:rPr>
        <w:t>16</w:t>
      </w:r>
      <w:r w:rsidRPr="000A716A">
        <w:rPr>
          <w:noProof/>
          <w:sz w:val="24"/>
          <w:szCs w:val="24"/>
        </w:rPr>
        <w:t>(1), 1–12. https://doi.org/10.1186/s13012-021-01111-5</w:t>
      </w:r>
    </w:p>
    <w:p w14:paraId="249BC21C"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NHS Innovation Accelerator Team. (2023). </w:t>
      </w:r>
      <w:r w:rsidRPr="000A716A">
        <w:rPr>
          <w:i/>
          <w:iCs/>
          <w:noProof/>
          <w:sz w:val="24"/>
          <w:szCs w:val="24"/>
        </w:rPr>
        <w:t>NHS Innovation Accelerator meluncurkan pencarian inovator dengan ambisi untuk mengubah pemberian layanan kesehatan</w:t>
      </w:r>
      <w:r w:rsidRPr="000A716A">
        <w:rPr>
          <w:noProof/>
          <w:sz w:val="24"/>
          <w:szCs w:val="24"/>
        </w:rPr>
        <w:t>. NHS Innovation Accelerator. https://nhsaccelerator.com/news-item/nhs-innovation-accelerator-launches-search-for-innovators-with-ambitions-to-transform-healthcare-delivery/</w:t>
      </w:r>
    </w:p>
    <w:p w14:paraId="06726319"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NHS Innovation Accelerator Team. (2024). </w:t>
      </w:r>
      <w:r w:rsidRPr="000A716A">
        <w:rPr>
          <w:i/>
          <w:iCs/>
          <w:noProof/>
          <w:sz w:val="24"/>
          <w:szCs w:val="24"/>
        </w:rPr>
        <w:t>NIA Guide for applicants 2024 Intake 3</w:t>
      </w:r>
      <w:r w:rsidRPr="000A716A">
        <w:rPr>
          <w:noProof/>
          <w:sz w:val="24"/>
          <w:szCs w:val="24"/>
        </w:rPr>
        <w:t>. 1–15. https://nhsaccelerator.com/wp-content/uploads/NIA-Guide-for-applicants-2024-Intake-3.pdf</w:t>
      </w:r>
    </w:p>
    <w:p w14:paraId="6D506F06"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Pettersen, S., Eide, H., &amp; Berg, A. (2024). The role of champions in the implementation of technology in healthcare services: a systematic mixed studies review. </w:t>
      </w:r>
      <w:r w:rsidRPr="000A716A">
        <w:rPr>
          <w:i/>
          <w:iCs/>
          <w:noProof/>
          <w:sz w:val="24"/>
          <w:szCs w:val="24"/>
        </w:rPr>
        <w:t>BMC Health Services Research</w:t>
      </w:r>
      <w:r w:rsidRPr="000A716A">
        <w:rPr>
          <w:noProof/>
          <w:sz w:val="24"/>
          <w:szCs w:val="24"/>
        </w:rPr>
        <w:t xml:space="preserve">, </w:t>
      </w:r>
      <w:r w:rsidRPr="000A716A">
        <w:rPr>
          <w:i/>
          <w:iCs/>
          <w:noProof/>
          <w:sz w:val="24"/>
          <w:szCs w:val="24"/>
        </w:rPr>
        <w:t>24</w:t>
      </w:r>
      <w:r w:rsidRPr="000A716A">
        <w:rPr>
          <w:noProof/>
          <w:sz w:val="24"/>
          <w:szCs w:val="24"/>
        </w:rPr>
        <w:t>(1), 1–16. https://doi.org/10.1186/s12913-024-10867-7</w:t>
      </w:r>
    </w:p>
    <w:p w14:paraId="41C03B2E"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Puppis, M. (2019). Analyzing Talk and Text I: Qualitative Content Analysis. </w:t>
      </w:r>
      <w:r w:rsidRPr="000A716A">
        <w:rPr>
          <w:i/>
          <w:iCs/>
          <w:noProof/>
          <w:sz w:val="24"/>
          <w:szCs w:val="24"/>
        </w:rPr>
        <w:t>SPRINGER LINK</w:t>
      </w:r>
      <w:r w:rsidRPr="000A716A">
        <w:rPr>
          <w:noProof/>
          <w:sz w:val="24"/>
          <w:szCs w:val="24"/>
        </w:rPr>
        <w:t>. https://link.springer.com/chapter/10.1007/978-3-030-16065-4_21</w:t>
      </w:r>
    </w:p>
    <w:p w14:paraId="06AB3340"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Rodriguez, M. I., Meath, T. H. A., Watson, K., Daly, A., McConnell, K. J., &amp; Kim, H. (2024). Decomposition analysis of racial and ethnic differences in receipt of immediate postpartum, long-acting, reversible, and permanent contraception. </w:t>
      </w:r>
      <w:r w:rsidRPr="000A716A">
        <w:rPr>
          <w:i/>
          <w:iCs/>
          <w:noProof/>
          <w:sz w:val="24"/>
          <w:szCs w:val="24"/>
        </w:rPr>
        <w:t>Contraception</w:t>
      </w:r>
      <w:r w:rsidRPr="000A716A">
        <w:rPr>
          <w:noProof/>
          <w:sz w:val="24"/>
          <w:szCs w:val="24"/>
        </w:rPr>
        <w:t>. https://doi.org/10.1016/j.contraception.2024.110512</w:t>
      </w:r>
    </w:p>
    <w:p w14:paraId="70D9C210"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Rosa Bolling, K., Wahdan, Y., Warnock, N., Lott, J., Schoendorf, J., Pisa, F., Gomez-Espinosa, E., Kistler, K., &amp; Maiese, B. (2023). Utilisation, effectiveness, and safety of immediate postpartum intrauterine device insertion: A systematic literature review. </w:t>
      </w:r>
      <w:r w:rsidRPr="000A716A">
        <w:rPr>
          <w:i/>
          <w:iCs/>
          <w:noProof/>
          <w:sz w:val="24"/>
          <w:szCs w:val="24"/>
        </w:rPr>
        <w:t>BMJ Sexual and Reproductive Health</w:t>
      </w:r>
      <w:r w:rsidRPr="000A716A">
        <w:rPr>
          <w:noProof/>
          <w:sz w:val="24"/>
          <w:szCs w:val="24"/>
        </w:rPr>
        <w:t xml:space="preserve">, </w:t>
      </w:r>
      <w:r w:rsidRPr="000A716A">
        <w:rPr>
          <w:i/>
          <w:iCs/>
          <w:noProof/>
          <w:sz w:val="24"/>
          <w:szCs w:val="24"/>
        </w:rPr>
        <w:t>49</w:t>
      </w:r>
      <w:r w:rsidRPr="000A716A">
        <w:rPr>
          <w:noProof/>
          <w:sz w:val="24"/>
          <w:szCs w:val="24"/>
        </w:rPr>
        <w:t>(2), E1. https://doi.org/10.1136/bmjsrh-2022-201579</w:t>
      </w:r>
    </w:p>
    <w:p w14:paraId="6CF6D945"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Santos, W. J., Graham, I. D., Lalonde, M., Demery Varin, M., &amp; Squires, J. E. (2022). The effectiveness of champions in implementing innovations in health care: a systematic review. </w:t>
      </w:r>
      <w:r w:rsidRPr="000A716A">
        <w:rPr>
          <w:i/>
          <w:iCs/>
          <w:noProof/>
          <w:sz w:val="24"/>
          <w:szCs w:val="24"/>
        </w:rPr>
        <w:t>Implementation Science Communications</w:t>
      </w:r>
      <w:r w:rsidRPr="000A716A">
        <w:rPr>
          <w:noProof/>
          <w:sz w:val="24"/>
          <w:szCs w:val="24"/>
        </w:rPr>
        <w:t xml:space="preserve">, </w:t>
      </w:r>
      <w:r w:rsidRPr="000A716A">
        <w:rPr>
          <w:i/>
          <w:iCs/>
          <w:noProof/>
          <w:sz w:val="24"/>
          <w:szCs w:val="24"/>
        </w:rPr>
        <w:t>3</w:t>
      </w:r>
      <w:r w:rsidRPr="000A716A">
        <w:rPr>
          <w:noProof/>
          <w:sz w:val="24"/>
          <w:szCs w:val="24"/>
        </w:rPr>
        <w:t>(1), 1–48. https://doi.org/10.1186/s43058-022-00315-0</w:t>
      </w:r>
    </w:p>
    <w:p w14:paraId="54FA16D7"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Sathitloetsakun, S. (2024). The prevalence of contraceptive use among postpartum women and its associated factors during the early phase of COVID-19 outbreak: a time series study. </w:t>
      </w:r>
      <w:r w:rsidRPr="000A716A">
        <w:rPr>
          <w:i/>
          <w:iCs/>
          <w:noProof/>
          <w:sz w:val="24"/>
          <w:szCs w:val="24"/>
        </w:rPr>
        <w:t>Reproductive Health</w:t>
      </w:r>
      <w:r w:rsidRPr="000A716A">
        <w:rPr>
          <w:noProof/>
          <w:sz w:val="24"/>
          <w:szCs w:val="24"/>
        </w:rPr>
        <w:t xml:space="preserve">, </w:t>
      </w:r>
      <w:r w:rsidRPr="000A716A">
        <w:rPr>
          <w:i/>
          <w:iCs/>
          <w:noProof/>
          <w:sz w:val="24"/>
          <w:szCs w:val="24"/>
        </w:rPr>
        <w:t>21</w:t>
      </w:r>
      <w:r w:rsidRPr="000A716A">
        <w:rPr>
          <w:noProof/>
          <w:sz w:val="24"/>
          <w:szCs w:val="24"/>
        </w:rPr>
        <w:t>(1). https://doi.org/10.1186/s12978-024-01803-3</w:t>
      </w:r>
    </w:p>
    <w:p w14:paraId="194B09CE"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Sharma, K., Cox, S., Romero, L., Ekwueme, D., Whiteman, M., Kroelinger, C., &amp; Ouyang, L. (2024). State variations in insertion of long-acting reversible contraception during delivery hospitalization. </w:t>
      </w:r>
      <w:r w:rsidRPr="000A716A">
        <w:rPr>
          <w:i/>
          <w:iCs/>
          <w:noProof/>
          <w:sz w:val="24"/>
          <w:szCs w:val="24"/>
        </w:rPr>
        <w:t>Contraception</w:t>
      </w:r>
      <w:r w:rsidRPr="000A716A">
        <w:rPr>
          <w:noProof/>
          <w:sz w:val="24"/>
          <w:szCs w:val="24"/>
        </w:rPr>
        <w:t>. https://doi.org/10.1016/j.contraception.2024.110509</w:t>
      </w:r>
    </w:p>
    <w:p w14:paraId="6EC3D330"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Sothornwit, J., Lumbiganon, P., Singhdaeng, K. S. T., Jampathong, N., &amp; Sangkomkamhang, U. (2022). Barriers and Facilitators to Implementing Immediate Postpartum Contraceptive Implant Programs: A Formative Implementation Research. </w:t>
      </w:r>
      <w:r w:rsidRPr="000A716A">
        <w:rPr>
          <w:i/>
          <w:iCs/>
          <w:noProof/>
          <w:sz w:val="24"/>
          <w:szCs w:val="24"/>
        </w:rPr>
        <w:t>International Journal of Women’s Health</w:t>
      </w:r>
      <w:r w:rsidRPr="000A716A">
        <w:rPr>
          <w:noProof/>
          <w:sz w:val="24"/>
          <w:szCs w:val="24"/>
        </w:rPr>
        <w:t xml:space="preserve">, </w:t>
      </w:r>
      <w:r w:rsidRPr="000A716A">
        <w:rPr>
          <w:i/>
          <w:iCs/>
          <w:noProof/>
          <w:sz w:val="24"/>
          <w:szCs w:val="24"/>
        </w:rPr>
        <w:t>14</w:t>
      </w:r>
      <w:r w:rsidRPr="000A716A">
        <w:rPr>
          <w:noProof/>
          <w:sz w:val="24"/>
          <w:szCs w:val="24"/>
        </w:rPr>
        <w:t>, 945–956. https://doi.org/10.2147/IJWH.S370012</w:t>
      </w:r>
    </w:p>
    <w:p w14:paraId="6989D0D8"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Srinivasan, P. (2024, April 29). </w:t>
      </w:r>
      <w:r w:rsidRPr="000A716A">
        <w:rPr>
          <w:i/>
          <w:iCs/>
          <w:noProof/>
          <w:sz w:val="24"/>
          <w:szCs w:val="24"/>
        </w:rPr>
        <w:t>Major Communication Challenges in the Workplace and How to Fix Them</w:t>
      </w:r>
      <w:r w:rsidRPr="000A716A">
        <w:rPr>
          <w:noProof/>
          <w:sz w:val="24"/>
          <w:szCs w:val="24"/>
        </w:rPr>
        <w:t>. ClickUp. https://clickup.com/blog/communication-challenges-in-the-workplace/</w:t>
      </w:r>
    </w:p>
    <w:p w14:paraId="671DEAC6"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lastRenderedPageBreak/>
        <w:t xml:space="preserve">Team, R. (2022). </w:t>
      </w:r>
      <w:r w:rsidRPr="000A716A">
        <w:rPr>
          <w:i/>
          <w:iCs/>
          <w:noProof/>
          <w:sz w:val="24"/>
          <w:szCs w:val="24"/>
        </w:rPr>
        <w:t>Champion</w:t>
      </w:r>
      <w:r w:rsidRPr="000A716A">
        <w:rPr>
          <w:noProof/>
          <w:sz w:val="24"/>
          <w:szCs w:val="24"/>
        </w:rPr>
        <w:t>. CFIR Research Team-Center for Clinical Management Research. https://cfirguide.org/constructs-old/champions/</w:t>
      </w:r>
    </w:p>
    <w:p w14:paraId="01C494E3"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Vibe, C. (2023). </w:t>
      </w:r>
      <w:r w:rsidRPr="000A716A">
        <w:rPr>
          <w:i/>
          <w:iCs/>
          <w:noProof/>
          <w:sz w:val="24"/>
          <w:szCs w:val="24"/>
        </w:rPr>
        <w:t>Overcoming Stagnation: Strategies For Breaking Free From Life’s Standstills</w:t>
      </w:r>
      <w:r w:rsidRPr="000A716A">
        <w:rPr>
          <w:noProof/>
          <w:sz w:val="24"/>
          <w:szCs w:val="24"/>
        </w:rPr>
        <w:t>. Conscious Vibe. https://theconsciousvibe.com/overcoming-stagnation-strategies-for-breaking-free-from-lifes-standstills/</w:t>
      </w:r>
    </w:p>
    <w:p w14:paraId="6D906B9B" w14:textId="77777777" w:rsidR="00CA5372" w:rsidRPr="000A716A" w:rsidRDefault="00CA5372" w:rsidP="00CA5372">
      <w:pPr>
        <w:widowControl w:val="0"/>
        <w:autoSpaceDE w:val="0"/>
        <w:autoSpaceDN w:val="0"/>
        <w:adjustRightInd w:val="0"/>
        <w:ind w:left="480" w:hanging="480"/>
        <w:jc w:val="both"/>
        <w:rPr>
          <w:noProof/>
          <w:sz w:val="24"/>
          <w:szCs w:val="24"/>
        </w:rPr>
      </w:pPr>
      <w:r w:rsidRPr="000A716A">
        <w:rPr>
          <w:noProof/>
          <w:sz w:val="24"/>
          <w:szCs w:val="24"/>
        </w:rPr>
        <w:t xml:space="preserve">Wang, Q., Hou, H., &amp; Li, Z. (2022). Participative Leadership: A Literature Review and Prospects for Future Research. </w:t>
      </w:r>
      <w:r w:rsidRPr="000A716A">
        <w:rPr>
          <w:i/>
          <w:iCs/>
          <w:noProof/>
          <w:sz w:val="24"/>
          <w:szCs w:val="24"/>
        </w:rPr>
        <w:t>Frontiers in Psychology</w:t>
      </w:r>
      <w:r w:rsidRPr="000A716A">
        <w:rPr>
          <w:noProof/>
          <w:sz w:val="24"/>
          <w:szCs w:val="24"/>
        </w:rPr>
        <w:t>. https://www.frontiersin.org/journals/psychology/articles/10.3389/fpsyg.2022.924357/full</w:t>
      </w:r>
    </w:p>
    <w:p w14:paraId="587CFA6B" w14:textId="77777777" w:rsidR="00CA5372" w:rsidRPr="000A716A" w:rsidRDefault="00CA5372" w:rsidP="00CA5372">
      <w:pPr>
        <w:widowControl w:val="0"/>
        <w:autoSpaceDE w:val="0"/>
        <w:autoSpaceDN w:val="0"/>
        <w:adjustRightInd w:val="0"/>
        <w:ind w:left="480" w:hanging="480"/>
        <w:jc w:val="both"/>
        <w:rPr>
          <w:noProof/>
          <w:sz w:val="24"/>
        </w:rPr>
      </w:pPr>
      <w:r w:rsidRPr="000A716A">
        <w:rPr>
          <w:noProof/>
          <w:sz w:val="24"/>
          <w:szCs w:val="24"/>
        </w:rPr>
        <w:t xml:space="preserve">Wilson, B. (2023). </w:t>
      </w:r>
      <w:r w:rsidRPr="000A716A">
        <w:rPr>
          <w:i/>
          <w:iCs/>
          <w:noProof/>
          <w:sz w:val="24"/>
          <w:szCs w:val="24"/>
        </w:rPr>
        <w:t>Enthusiasm as a Strategy: Igniting Success Through Passionate Leadership</w:t>
      </w:r>
      <w:r w:rsidRPr="000A716A">
        <w:rPr>
          <w:noProof/>
          <w:sz w:val="24"/>
          <w:szCs w:val="24"/>
        </w:rPr>
        <w:t>. Govloop. https://www.govloop.com/community/blog/enthusiasm-as-a-strategy-igniting-success-through-passionate-leadership/</w:t>
      </w:r>
    </w:p>
    <w:p w14:paraId="0207C7D1" w14:textId="4D9FB4DC" w:rsidR="000D1377" w:rsidRPr="009E5DBF" w:rsidRDefault="00CA5372" w:rsidP="00CA5372">
      <w:pPr>
        <w:ind w:left="720" w:hanging="720"/>
        <w:jc w:val="both"/>
        <w:rPr>
          <w:rFonts w:ascii="Book Antiqua" w:hAnsi="Book Antiqua"/>
          <w:color w:val="000000"/>
          <w:sz w:val="24"/>
          <w:szCs w:val="24"/>
        </w:rPr>
      </w:pPr>
      <w:r>
        <w:rPr>
          <w:b/>
          <w:sz w:val="24"/>
          <w:szCs w:val="24"/>
        </w:rPr>
        <w:fldChar w:fldCharType="end"/>
      </w:r>
    </w:p>
    <w:sectPr w:rsidR="000D1377" w:rsidRPr="009E5DBF" w:rsidSect="002A276C">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1134" w:footer="1134"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wanda Hadinata" w:date="2025-04-29T02:02:00Z" w:initials="EH">
    <w:p w14:paraId="158D5E24" w14:textId="76DA6C40" w:rsidR="00542FDA" w:rsidRDefault="00542FDA">
      <w:pPr>
        <w:pStyle w:val="TeksKomentar"/>
      </w:pPr>
      <w:r>
        <w:rPr>
          <w:rStyle w:val="ReferensiKomentar"/>
        </w:rPr>
        <w:annotationRef/>
      </w:r>
      <w:proofErr w:type="spellStart"/>
      <w:r>
        <w:t>Lebih</w:t>
      </w:r>
      <w:proofErr w:type="spellEnd"/>
      <w:r>
        <w:t xml:space="preserve"> </w:t>
      </w:r>
      <w:proofErr w:type="spellStart"/>
      <w:r>
        <w:t>kepada</w:t>
      </w:r>
      <w:proofErr w:type="spellEnd"/>
      <w:r>
        <w:t xml:space="preserve"> </w:t>
      </w:r>
      <w:proofErr w:type="spellStart"/>
      <w:r>
        <w:t>kenapa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dilakukan</w:t>
      </w:r>
      <w:proofErr w:type="spellEnd"/>
      <w:r>
        <w:t xml:space="preserve"> dan </w:t>
      </w:r>
      <w:proofErr w:type="spellStart"/>
      <w:r>
        <w:t>tujuan</w:t>
      </w:r>
      <w:proofErr w:type="spellEnd"/>
      <w:r>
        <w:t xml:space="preserve"> </w:t>
      </w:r>
      <w:proofErr w:type="spellStart"/>
      <w:r>
        <w:t>penelitian</w:t>
      </w:r>
      <w:proofErr w:type="spellEnd"/>
    </w:p>
  </w:comment>
  <w:comment w:id="2" w:author="Erwanda Hadinata" w:date="2025-04-29T02:13:00Z" w:initials="EH">
    <w:p w14:paraId="694D91A9" w14:textId="573CA4FB" w:rsidR="009715A6" w:rsidRDefault="009715A6">
      <w:pPr>
        <w:pStyle w:val="TeksKomentar"/>
      </w:pPr>
      <w:r>
        <w:rPr>
          <w:rStyle w:val="ReferensiKomentar"/>
        </w:rPr>
        <w:annotationRef/>
      </w:r>
      <w:proofErr w:type="spellStart"/>
      <w:r>
        <w:t>Cantumkan</w:t>
      </w:r>
      <w:proofErr w:type="spellEnd"/>
      <w:r>
        <w:t xml:space="preserve"> di </w:t>
      </w:r>
      <w:proofErr w:type="spellStart"/>
      <w:r>
        <w:t>hasil</w:t>
      </w:r>
      <w:proofErr w:type="spellEnd"/>
    </w:p>
  </w:comment>
  <w:comment w:id="3" w:author="Erwanda Hadinata" w:date="2025-04-29T02:06:00Z" w:initials="EH">
    <w:p w14:paraId="7A252739" w14:textId="0922AD89" w:rsidR="00542FDA" w:rsidRDefault="00542FDA">
      <w:pPr>
        <w:pStyle w:val="TeksKomentar"/>
      </w:pPr>
      <w:r>
        <w:rPr>
          <w:rStyle w:val="ReferensiKomentar"/>
        </w:rPr>
        <w:annotationRef/>
      </w:r>
      <w:r>
        <w:t xml:space="preserve">Pada </w:t>
      </w:r>
      <w:proofErr w:type="spellStart"/>
      <w:r>
        <w:t>pembahasan</w:t>
      </w:r>
      <w:proofErr w:type="spellEnd"/>
      <w:r>
        <w:t xml:space="preserve"> </w:t>
      </w:r>
      <w:proofErr w:type="spellStart"/>
      <w:r>
        <w:t>tambahkan</w:t>
      </w:r>
      <w:proofErr w:type="spellEnd"/>
      <w:r>
        <w:t xml:space="preserve"> </w:t>
      </w:r>
      <w:proofErr w:type="spellStart"/>
      <w:r>
        <w:t>sumber</w:t>
      </w:r>
      <w:proofErr w:type="spellEnd"/>
      <w:r>
        <w:t xml:space="preserve"> literature </w:t>
      </w:r>
      <w:proofErr w:type="spellStart"/>
      <w:r>
        <w:t>dari</w:t>
      </w:r>
      <w:proofErr w:type="spellEnd"/>
      <w:r>
        <w:t xml:space="preserve"> </w:t>
      </w:r>
      <w:proofErr w:type="spellStart"/>
      <w:r>
        <w:t>jurnal</w:t>
      </w:r>
      <w:proofErr w:type="spellEnd"/>
      <w:r>
        <w:t xml:space="preserve"> </w:t>
      </w:r>
      <w:proofErr w:type="spellStart"/>
      <w:r>
        <w:t>terkait</w:t>
      </w:r>
      <w:proofErr w:type="spellEnd"/>
      <w:r>
        <w:t xml:space="preserve"> yang </w:t>
      </w:r>
      <w:proofErr w:type="spellStart"/>
      <w:r>
        <w:t>mendukung</w:t>
      </w:r>
      <w:proofErr w:type="spellEnd"/>
      <w:r>
        <w:t xml:space="preserve"> </w:t>
      </w:r>
      <w:proofErr w:type="spellStart"/>
      <w:r>
        <w:t>peneltian</w:t>
      </w:r>
      <w:proofErr w:type="spellEnd"/>
    </w:p>
  </w:comment>
  <w:comment w:id="5" w:author="Erwanda Hadinata" w:date="2025-04-29T02:08:00Z" w:initials="EH">
    <w:p w14:paraId="1141273E" w14:textId="77777777" w:rsidR="00542FDA" w:rsidRDefault="00542FDA">
      <w:pPr>
        <w:pStyle w:val="TeksKomentar"/>
      </w:pPr>
      <w:r>
        <w:rPr>
          <w:rStyle w:val="ReferensiKomentar"/>
        </w:rPr>
        <w:annotationRef/>
      </w:r>
      <w:proofErr w:type="spellStart"/>
      <w:r>
        <w:t>Referensi</w:t>
      </w:r>
      <w:proofErr w:type="spellEnd"/>
      <w:r>
        <w:t xml:space="preserve"> yang </w:t>
      </w:r>
      <w:proofErr w:type="spellStart"/>
      <w:r>
        <w:t>dicantumkan</w:t>
      </w:r>
      <w:proofErr w:type="spellEnd"/>
      <w:r>
        <w:t xml:space="preserve"> </w:t>
      </w:r>
      <w:proofErr w:type="spellStart"/>
      <w:r>
        <w:t>hanya</w:t>
      </w:r>
      <w:proofErr w:type="spellEnd"/>
      <w:r>
        <w:t xml:space="preserve"> yang </w:t>
      </w:r>
      <w:proofErr w:type="spellStart"/>
      <w:r>
        <w:t>terdapat</w:t>
      </w:r>
      <w:proofErr w:type="spellEnd"/>
      <w:r>
        <w:t xml:space="preserve"> pada </w:t>
      </w:r>
      <w:proofErr w:type="spellStart"/>
      <w:r>
        <w:t>artikel</w:t>
      </w:r>
      <w:proofErr w:type="spellEnd"/>
      <w:r>
        <w:t xml:space="preserve"> dan </w:t>
      </w:r>
      <w:proofErr w:type="spellStart"/>
      <w:r>
        <w:t>diharapkan</w:t>
      </w:r>
      <w:proofErr w:type="spellEnd"/>
      <w:r>
        <w:t xml:space="preserve"> </w:t>
      </w:r>
      <w:proofErr w:type="spellStart"/>
      <w:r>
        <w:t>dominan</w:t>
      </w:r>
      <w:proofErr w:type="spellEnd"/>
      <w:r>
        <w:t xml:space="preserve"> </w:t>
      </w:r>
      <w:proofErr w:type="spellStart"/>
      <w:r>
        <w:t>dari</w:t>
      </w:r>
      <w:proofErr w:type="spellEnd"/>
      <w:r>
        <w:t xml:space="preserve"> </w:t>
      </w:r>
      <w:proofErr w:type="spellStart"/>
      <w:r>
        <w:t>jurnal</w:t>
      </w:r>
      <w:proofErr w:type="spellEnd"/>
      <w:r>
        <w:t xml:space="preserve"> 3 </w:t>
      </w:r>
      <w:proofErr w:type="spellStart"/>
      <w:r>
        <w:t>tahun</w:t>
      </w:r>
      <w:proofErr w:type="spellEnd"/>
      <w:r>
        <w:t xml:space="preserve"> </w:t>
      </w:r>
      <w:proofErr w:type="spellStart"/>
      <w:r>
        <w:t>terakhir</w:t>
      </w:r>
      <w:proofErr w:type="spellEnd"/>
    </w:p>
    <w:p w14:paraId="126824E2" w14:textId="6B78F6DE" w:rsidR="00542FDA" w:rsidRDefault="00542FDA">
      <w:pPr>
        <w:pStyle w:val="TeksKomenta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D5E24" w15:done="0"/>
  <w15:commentEx w15:paraId="694D91A9" w15:done="0"/>
  <w15:commentEx w15:paraId="7A252739" w15:done="0"/>
  <w15:commentEx w15:paraId="126824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F35975" w16cex:dateUtc="2025-04-28T19:02:00Z"/>
  <w16cex:commentExtensible w16cex:durableId="69F83F6F" w16cex:dateUtc="2025-04-28T19:13:00Z"/>
  <w16cex:commentExtensible w16cex:durableId="5E16D95D" w16cex:dateUtc="2025-04-28T19:06:00Z"/>
  <w16cex:commentExtensible w16cex:durableId="551B9EA5" w16cex:dateUtc="2025-04-28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D5E24" w16cid:durableId="06F35975"/>
  <w16cid:commentId w16cid:paraId="694D91A9" w16cid:durableId="69F83F6F"/>
  <w16cid:commentId w16cid:paraId="7A252739" w16cid:durableId="5E16D95D"/>
  <w16cid:commentId w16cid:paraId="126824E2" w16cid:durableId="551B9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AD9D" w14:textId="77777777" w:rsidR="001A6B2F" w:rsidRDefault="001A6B2F">
      <w:r>
        <w:separator/>
      </w:r>
    </w:p>
  </w:endnote>
  <w:endnote w:type="continuationSeparator" w:id="0">
    <w:p w14:paraId="7BF81C2F" w14:textId="77777777" w:rsidR="001A6B2F" w:rsidRDefault="001A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463F57DE" w:rsidR="00C2212D" w:rsidRPr="003D5B84" w:rsidRDefault="00C2212D"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592704" behindDoc="0" locked="0" layoutInCell="1" allowOverlap="1" wp14:anchorId="307E942D" wp14:editId="1E2FA531">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DED418F" id="Line 3"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224488">
      <w:rPr>
        <w:noProof/>
      </w:rPr>
      <w:t>Jurnal Kesehatan</w:t>
    </w:r>
    <w:r w:rsidRPr="00E619D6">
      <w:t xml:space="preserve">, Vol. </w:t>
    </w:r>
    <w:r>
      <w:t>1</w:t>
    </w:r>
    <w:r w:rsidR="008150ED">
      <w:t>3</w:t>
    </w:r>
    <w:r w:rsidRPr="00E619D6">
      <w:t xml:space="preserve">, No. </w:t>
    </w:r>
    <w:r w:rsidR="008150ED">
      <w:t>1</w:t>
    </w:r>
    <w:r w:rsidRPr="00E619D6">
      <w:t xml:space="preserve">, </w:t>
    </w:r>
    <w:proofErr w:type="spellStart"/>
    <w:r w:rsidR="00224488">
      <w:t>Desember</w:t>
    </w:r>
    <w:proofErr w:type="spellEnd"/>
    <w:r w:rsidR="00224488">
      <w:t xml:space="preserve"> 2023: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96C" w14:textId="1F83435E" w:rsidR="00C2212D" w:rsidRPr="00A63E41" w:rsidRDefault="00C2212D" w:rsidP="00A63E41">
    <w:pPr>
      <w:pStyle w:val="Footer"/>
      <w:tabs>
        <w:tab w:val="clear" w:pos="8640"/>
        <w:tab w:val="right" w:pos="8789"/>
      </w:tabs>
      <w:jc w:val="right"/>
      <w:rPr>
        <w:i/>
        <w:iCs/>
        <w:noProof/>
      </w:rPr>
    </w:pPr>
    <w:r w:rsidRPr="00A63E41">
      <w:rPr>
        <w:i/>
        <w:iCs/>
        <w:noProof/>
      </w:rPr>
      <mc:AlternateContent>
        <mc:Choice Requires="wps">
          <w:drawing>
            <wp:anchor distT="0" distB="0" distL="114300" distR="114300" simplePos="0" relativeHeight="251712512" behindDoc="0" locked="0" layoutInCell="1" allowOverlap="1" wp14:anchorId="62A3734C" wp14:editId="479711B7">
              <wp:simplePos x="0" y="0"/>
              <wp:positionH relativeFrom="column">
                <wp:posOffset>-15610</wp:posOffset>
              </wp:positionH>
              <wp:positionV relativeFrom="paragraph">
                <wp:posOffset>-872</wp:posOffset>
              </wp:positionV>
              <wp:extent cx="5615940" cy="0"/>
              <wp:effectExtent l="0" t="0" r="22860"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E003836" id="Line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05pt" to="44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LZQHPbaAAAABgEAAA8AAABkcnMvZG93bnJldi54bWxMjsFO&#10;wzAQRO9I/IO1SFyq1kkQKIQ4FQJy40IBcd3GSxIRr9PYbQNfz8IFTqPRjGZeuZ7doA40hd6zgXSV&#10;gCJuvO25NfDyXC9zUCEiWxw8k4FPCrCuTk9KLKw/8hMdNrFVMsKhQANdjGOhdWg6chhWfiSW7N1P&#10;DqPYqdV2wqOMu0FnSXKlHfYsDx2OdNdR87HZOwOhfqVd/bVoFsnbResp290/PqAx52fz7Q2oSHP8&#10;K8MPvqBDJUxbv2cb1GBgmV1KUzQFJXGep9egtr9eV6X+j199AwAA//8DAFBLAQItABQABgAIAAAA&#10;IQC2gziS/gAAAOEBAAATAAAAAAAAAAAAAAAAAAAAAABbQ29udGVudF9UeXBlc10ueG1sUEsBAi0A&#10;FAAGAAgAAAAhADj9If/WAAAAlAEAAAsAAAAAAAAAAAAAAAAALwEAAF9yZWxzLy5yZWxzUEsBAi0A&#10;FAAGAAgAAAAhAEEG5tuwAQAASAMAAA4AAAAAAAAAAAAAAAAALgIAAGRycy9lMm9Eb2MueG1sUEsB&#10;Ai0AFAAGAAgAAAAhALZQHPbaAAAABgEAAA8AAAAAAAAAAAAAAAAACgQAAGRycy9kb3ducmV2Lnht&#10;bFBLBQYAAAAABAAEAPMAAAARBQAAAAA=&#10;"/>
          </w:pict>
        </mc:Fallback>
      </mc:AlternateContent>
    </w:r>
    <w:r w:rsidR="00224488">
      <w:rPr>
        <w:i/>
        <w:iCs/>
        <w:noProof/>
      </w:rPr>
      <w:t xml:space="preserve">Judul Artikel ditulis disini </w:t>
    </w:r>
    <w:r w:rsidR="008150ED">
      <w:rPr>
        <w:i/>
        <w:iCs/>
        <w:noProof/>
      </w:rPr>
      <w:t xml:space="preserve"> </w:t>
    </w:r>
    <w:r w:rsidRPr="00A63E41">
      <w:rPr>
        <w:i/>
        <w:iCs/>
        <w:noProof/>
      </w:rPr>
      <w:t>(</w:t>
    </w:r>
    <w:r w:rsidR="00224488">
      <w:rPr>
        <w:i/>
        <w:iCs/>
        <w:noProof/>
      </w:rPr>
      <w:t>Yuli Kusumawati</w:t>
    </w:r>
    <w:r w:rsidR="008150ED">
      <w:rPr>
        <w:i/>
        <w:iCs/>
        <w:noProof/>
      </w:rPr>
      <w:t xml:space="preserve"> et  al.</w:t>
    </w:r>
    <w:r w:rsidRPr="00A63E41">
      <w:rPr>
        <w:i/>
        <w:iCs/>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03" w14:textId="645646B0" w:rsidR="00C2212D" w:rsidRPr="003D5B84" w:rsidRDefault="00C2212D" w:rsidP="00453F49">
    <w:pPr>
      <w:pStyle w:val="Footer"/>
      <w:spacing w:before="240"/>
      <w:rPr>
        <w:i/>
        <w:szCs w:val="18"/>
      </w:rPr>
    </w:pPr>
    <w:r>
      <w:rPr>
        <w:noProof/>
      </w:rPr>
      <mc:AlternateContent>
        <mc:Choice Requires="wps">
          <w:drawing>
            <wp:anchor distT="0" distB="0" distL="114300" distR="114300" simplePos="0" relativeHeight="251659264" behindDoc="0" locked="0" layoutInCell="1" allowOverlap="1" wp14:anchorId="066E0B6C" wp14:editId="39513EC1">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71F72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proofErr w:type="spellStart"/>
    <w:r w:rsidR="00224488">
      <w:rPr>
        <w:b/>
        <w:i/>
        <w:szCs w:val="18"/>
      </w:rPr>
      <w:t>Laman</w:t>
    </w:r>
    <w:proofErr w:type="spellEnd"/>
    <w:r w:rsidR="00224488">
      <w:rPr>
        <w:b/>
        <w:i/>
        <w:szCs w:val="18"/>
      </w:rPr>
      <w:t xml:space="preserve"> </w:t>
    </w:r>
    <w:proofErr w:type="spellStart"/>
    <w:r w:rsidR="00224488">
      <w:rPr>
        <w:b/>
        <w:i/>
        <w:szCs w:val="18"/>
      </w:rPr>
      <w:t>Jurnal</w:t>
    </w:r>
    <w:proofErr w:type="spellEnd"/>
    <w:r>
      <w:rPr>
        <w:i/>
        <w:szCs w:val="18"/>
      </w:rPr>
      <w:t xml:space="preserve">: </w:t>
    </w:r>
    <w:r w:rsidR="00224488" w:rsidRPr="00224488">
      <w:rPr>
        <w:i/>
        <w:szCs w:val="18"/>
      </w:rPr>
      <w:t>https://journals2.ums.ac.id/index.php/jk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B28D" w14:textId="77777777" w:rsidR="001A6B2F" w:rsidRDefault="001A6B2F">
      <w:r>
        <w:separator/>
      </w:r>
    </w:p>
  </w:footnote>
  <w:footnote w:type="continuationSeparator" w:id="0">
    <w:p w14:paraId="111EAD25" w14:textId="77777777" w:rsidR="001A6B2F" w:rsidRDefault="001A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C2212D" w:rsidRPr="003D5B84" w:rsidRDefault="00C2212D" w:rsidP="00BD2B86">
    <w:pPr>
      <w:pStyle w:val="Header"/>
      <w:framePr w:wrap="around" w:vAnchor="text" w:hAnchor="page" w:x="1697" w:y="-2"/>
      <w:rPr>
        <w:rStyle w:val="NomorHalaman"/>
      </w:rPr>
    </w:pPr>
    <w:r w:rsidRPr="003D5B84">
      <w:rPr>
        <w:rStyle w:val="NomorHalaman"/>
      </w:rPr>
      <w:fldChar w:fldCharType="begin"/>
    </w:r>
    <w:r w:rsidRPr="003D5B84">
      <w:rPr>
        <w:rStyle w:val="NomorHalaman"/>
      </w:rPr>
      <w:instrText xml:space="preserve">PAGE  </w:instrText>
    </w:r>
    <w:r w:rsidRPr="003D5B84">
      <w:rPr>
        <w:rStyle w:val="NomorHalaman"/>
      </w:rPr>
      <w:fldChar w:fldCharType="separate"/>
    </w:r>
    <w:r w:rsidR="00C70B6B">
      <w:rPr>
        <w:rStyle w:val="NomorHalaman"/>
        <w:noProof/>
      </w:rPr>
      <w:t>4</w:t>
    </w:r>
    <w:r w:rsidRPr="003D5B84">
      <w:rPr>
        <w:rStyle w:val="NomorHalaman"/>
      </w:rPr>
      <w:fldChar w:fldCharType="end"/>
    </w:r>
  </w:p>
  <w:p w14:paraId="7F150106" w14:textId="011BFF9C" w:rsidR="00C2212D" w:rsidRPr="003D5B84" w:rsidRDefault="00C2212D"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5168" behindDoc="0" locked="0" layoutInCell="1" allowOverlap="1" wp14:anchorId="36240665" wp14:editId="210EDC12">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B2806E8"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Pr="003D5B84">
      <w:t xml:space="preserve">     </w:t>
    </w:r>
    <w:r w:rsidRPr="003D5B84">
      <w:tab/>
    </w:r>
    <w:r>
      <w:sym w:font="Wingdings" w:char="F072"/>
    </w:r>
    <w:r w:rsidRPr="003D5B84">
      <w:t xml:space="preserve"> </w:t>
    </w:r>
    <w:r w:rsidRPr="003D5B84">
      <w:tab/>
    </w:r>
    <w:r w:rsidRPr="003D5B84">
      <w:tab/>
    </w:r>
    <w:r w:rsidR="000D1377" w:rsidRPr="001647F4">
      <w:t>p-ISSN: 1979-7621, e-ISSN: 2620-7761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C2212D" w:rsidRPr="003D5B84" w:rsidRDefault="00C2212D" w:rsidP="00F173DD">
    <w:pPr>
      <w:pStyle w:val="Header"/>
      <w:framePr w:wrap="around" w:vAnchor="text" w:hAnchor="margin" w:xAlign="outside" w:y="1"/>
      <w:rPr>
        <w:rStyle w:val="NomorHalaman"/>
      </w:rPr>
    </w:pPr>
    <w:r w:rsidRPr="003D5B84">
      <w:rPr>
        <w:rStyle w:val="NomorHalaman"/>
      </w:rPr>
      <w:fldChar w:fldCharType="begin"/>
    </w:r>
    <w:r w:rsidRPr="003D5B84">
      <w:rPr>
        <w:rStyle w:val="NomorHalaman"/>
      </w:rPr>
      <w:instrText xml:space="preserve">PAGE  </w:instrText>
    </w:r>
    <w:r w:rsidRPr="003D5B84">
      <w:rPr>
        <w:rStyle w:val="NomorHalaman"/>
      </w:rPr>
      <w:fldChar w:fldCharType="separate"/>
    </w:r>
    <w:r w:rsidR="00C70B6B">
      <w:rPr>
        <w:rStyle w:val="NomorHalaman"/>
        <w:noProof/>
      </w:rPr>
      <w:t>3</w:t>
    </w:r>
    <w:r w:rsidRPr="003D5B84">
      <w:rPr>
        <w:rStyle w:val="NomorHalaman"/>
      </w:rPr>
      <w:fldChar w:fldCharType="end"/>
    </w:r>
  </w:p>
  <w:p w14:paraId="72D04B55" w14:textId="4EDCA086" w:rsidR="00C2212D" w:rsidRPr="003D5B84" w:rsidRDefault="00224488" w:rsidP="00222701">
    <w:pPr>
      <w:pStyle w:val="Header"/>
      <w:tabs>
        <w:tab w:val="clear" w:pos="4320"/>
        <w:tab w:val="clear" w:pos="8640"/>
        <w:tab w:val="left" w:pos="0"/>
        <w:tab w:val="center" w:pos="4301"/>
        <w:tab w:val="left" w:pos="7938"/>
      </w:tabs>
    </w:pPr>
    <w:r>
      <w:rPr>
        <w:noProof/>
      </w:rPr>
      <w:t>Jurnal Kesehatan</w:t>
    </w:r>
    <w:r w:rsidR="00C2212D" w:rsidRPr="003D5B84">
      <w:t xml:space="preserve"> </w:t>
    </w:r>
    <w:r w:rsidR="00C2212D" w:rsidRPr="003D5B84">
      <w:tab/>
    </w:r>
    <w:r w:rsidRPr="001647F4">
      <w:t>p-ISSN: 1979-7621, e-ISSN: 2620-7761</w:t>
    </w:r>
    <w:r w:rsidR="00C2212D" w:rsidRPr="003D5B84">
      <w:tab/>
    </w:r>
    <w:r w:rsidR="00C2212D">
      <w:sym w:font="Wingdings" w:char="F072"/>
    </w:r>
  </w:p>
  <w:p w14:paraId="3BE6E7DA" w14:textId="7CB50A32" w:rsidR="00C2212D" w:rsidRPr="003D5B84" w:rsidRDefault="00C2212D" w:rsidP="0094367D">
    <w:pPr>
      <w:pStyle w:val="Header"/>
      <w:ind w:right="360" w:firstLine="360"/>
    </w:pPr>
    <w:r>
      <w:rPr>
        <w:noProof/>
      </w:rPr>
      <mc:AlternateContent>
        <mc:Choice Requires="wps">
          <w:drawing>
            <wp:anchor distT="0" distB="0" distL="114300" distR="114300" simplePos="0" relativeHeight="251657216" behindDoc="0" locked="0" layoutInCell="1" allowOverlap="1" wp14:anchorId="485510DB" wp14:editId="521D6F17">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ABCD6C7"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FFE7" w14:textId="5D77C56E" w:rsidR="00C2212D" w:rsidRPr="001647F4" w:rsidRDefault="001647F4" w:rsidP="004D3838">
    <w:pPr>
      <w:pStyle w:val="Header"/>
      <w:tabs>
        <w:tab w:val="left" w:pos="720"/>
      </w:tabs>
      <w:ind w:right="45"/>
      <w:rPr>
        <w:b/>
        <w:sz w:val="24"/>
        <w:szCs w:val="24"/>
      </w:rPr>
    </w:pPr>
    <w:r>
      <w:rPr>
        <w:b/>
        <w:noProof/>
        <w:sz w:val="24"/>
        <w:szCs w:val="24"/>
      </w:rPr>
      <w:drawing>
        <wp:anchor distT="0" distB="0" distL="114300" distR="114300" simplePos="0" relativeHeight="251736064" behindDoc="1" locked="0" layoutInCell="1" allowOverlap="1" wp14:anchorId="5BE4B40E" wp14:editId="412F9193">
          <wp:simplePos x="0" y="0"/>
          <wp:positionH relativeFrom="column">
            <wp:posOffset>3737364</wp:posOffset>
          </wp:positionH>
          <wp:positionV relativeFrom="paragraph">
            <wp:posOffset>-99563</wp:posOffset>
          </wp:positionV>
          <wp:extent cx="1258812" cy="586854"/>
          <wp:effectExtent l="0" t="0" r="0" b="3810"/>
          <wp:wrapNone/>
          <wp:docPr id="1316552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812" cy="586854"/>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963264" w:rsidRPr="001647F4">
      <w:rPr>
        <w:b/>
        <w:sz w:val="24"/>
        <w:szCs w:val="24"/>
      </w:rPr>
      <w:t>Jurnal</w:t>
    </w:r>
    <w:proofErr w:type="spellEnd"/>
    <w:r w:rsidR="00963264" w:rsidRPr="001647F4">
      <w:rPr>
        <w:b/>
        <w:sz w:val="24"/>
        <w:szCs w:val="24"/>
      </w:rPr>
      <w:t xml:space="preserve"> Kesehatan</w:t>
    </w:r>
  </w:p>
  <w:p w14:paraId="22713C07" w14:textId="3344EE76" w:rsidR="00C2212D" w:rsidRPr="001647F4" w:rsidRDefault="00C2212D" w:rsidP="004D3838">
    <w:pPr>
      <w:pStyle w:val="Header"/>
      <w:tabs>
        <w:tab w:val="clear" w:pos="4320"/>
        <w:tab w:val="clear" w:pos="8640"/>
      </w:tabs>
      <w:ind w:right="45"/>
    </w:pPr>
    <w:r w:rsidRPr="001647F4">
      <w:t>Vol</w:t>
    </w:r>
    <w:r w:rsidR="009A26BB" w:rsidRPr="001647F4">
      <w:t>…</w:t>
    </w:r>
    <w:proofErr w:type="gramStart"/>
    <w:r w:rsidR="009A26BB" w:rsidRPr="001647F4">
      <w:t xml:space="preserve">. </w:t>
    </w:r>
    <w:r w:rsidRPr="001647F4">
      <w:t>,</w:t>
    </w:r>
    <w:proofErr w:type="gramEnd"/>
    <w:r w:rsidRPr="001647F4">
      <w:t xml:space="preserve"> No.</w:t>
    </w:r>
    <w:r w:rsidR="009A26BB" w:rsidRPr="001647F4">
      <w:t xml:space="preserve"> …. </w:t>
    </w:r>
    <w:r w:rsidRPr="001647F4">
      <w:t xml:space="preserve">, </w:t>
    </w:r>
    <w:r w:rsidR="009A26BB" w:rsidRPr="001647F4">
      <w:t>Juni</w:t>
    </w:r>
    <w:r w:rsidRPr="001647F4">
      <w:t xml:space="preserve"> 202</w:t>
    </w:r>
    <w:r w:rsidR="000A2C68" w:rsidRPr="001647F4">
      <w:t>3</w:t>
    </w:r>
    <w:r w:rsidRPr="001647F4">
      <w:t>, pp. 1~1x</w:t>
    </w:r>
  </w:p>
  <w:p w14:paraId="2A371CCD" w14:textId="64FC1A6F" w:rsidR="00C2212D" w:rsidRDefault="009A26BB" w:rsidP="004D3838">
    <w:pPr>
      <w:pStyle w:val="Header"/>
      <w:tabs>
        <w:tab w:val="clear" w:pos="4320"/>
        <w:tab w:val="clear" w:pos="8640"/>
        <w:tab w:val="left" w:pos="7938"/>
        <w:tab w:val="right" w:pos="8789"/>
      </w:tabs>
      <w:rPr>
        <w:rStyle w:val="NomorHalaman"/>
      </w:rPr>
    </w:pPr>
    <w:r w:rsidRPr="001647F4">
      <w:t>p-</w:t>
    </w:r>
    <w:r w:rsidR="00C2212D" w:rsidRPr="001647F4">
      <w:t xml:space="preserve">ISSN: </w:t>
    </w:r>
    <w:r w:rsidR="005F77D5" w:rsidRPr="001647F4">
      <w:t>1979-7621, e-ISSN: 2620-7761</w:t>
    </w:r>
    <w:r w:rsidR="00C2212D" w:rsidRPr="001647F4">
      <w:t xml:space="preserve">, DOI: </w:t>
    </w:r>
    <w:r w:rsidR="001647F4" w:rsidRPr="001647F4">
      <w:rPr>
        <w:color w:val="000000"/>
        <w:shd w:val="clear" w:color="auto" w:fill="FFFFFF"/>
      </w:rPr>
      <w:t>10.23917/</w:t>
    </w:r>
    <w:proofErr w:type="gramStart"/>
    <w:r w:rsidR="001647F4" w:rsidRPr="001647F4">
      <w:rPr>
        <w:color w:val="000000"/>
        <w:shd w:val="clear" w:color="auto" w:fill="FFFFFF"/>
      </w:rPr>
      <w:t>jk.v</w:t>
    </w:r>
    <w:proofErr w:type="gramEnd"/>
    <w:r w:rsidR="001647F4" w:rsidRPr="001647F4">
      <w:rPr>
        <w:color w:val="000000"/>
        <w:shd w:val="clear" w:color="auto" w:fill="FFFFFF"/>
      </w:rPr>
      <w:t>16i1.19434</w:t>
    </w:r>
    <w:r w:rsidR="00C2212D" w:rsidRPr="003D5B84">
      <w:t xml:space="preserve">    </w:t>
    </w:r>
    <w:r w:rsidR="00C2212D" w:rsidRPr="003D5B84">
      <w:tab/>
    </w:r>
    <w:r w:rsidR="00C2212D" w:rsidRPr="003D5B84">
      <w:rPr>
        <w:rStyle w:val="NomorHalaman"/>
      </w:rPr>
      <w:fldChar w:fldCharType="begin"/>
    </w:r>
    <w:r w:rsidR="00C2212D" w:rsidRPr="003D5B84">
      <w:rPr>
        <w:rStyle w:val="NomorHalaman"/>
      </w:rPr>
      <w:instrText xml:space="preserve"> PAGE </w:instrText>
    </w:r>
    <w:r w:rsidR="00C2212D" w:rsidRPr="003D5B84">
      <w:rPr>
        <w:rStyle w:val="NomorHalaman"/>
      </w:rPr>
      <w:fldChar w:fldCharType="separate"/>
    </w:r>
    <w:r w:rsidR="00D53AC1">
      <w:rPr>
        <w:rStyle w:val="NomorHalaman"/>
        <w:noProof/>
      </w:rPr>
      <w:t>1</w:t>
    </w:r>
    <w:r w:rsidR="00C2212D" w:rsidRPr="003D5B84">
      <w:rPr>
        <w:rStyle w:val="NomorHalaman"/>
      </w:rPr>
      <w:fldChar w:fldCharType="end"/>
    </w:r>
    <w:r w:rsidR="00C2212D">
      <w:rPr>
        <w:noProof/>
      </w:rPr>
      <mc:AlternateContent>
        <mc:Choice Requires="wps">
          <w:drawing>
            <wp:anchor distT="0" distB="0" distL="114300" distR="114300" simplePos="0" relativeHeight="251735040" behindDoc="0" locked="0" layoutInCell="1" allowOverlap="1" wp14:anchorId="480481AD" wp14:editId="6931DF52">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61175CF6"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p>
  <w:p w14:paraId="0F8E6846" w14:textId="77777777" w:rsidR="00C2212D" w:rsidRPr="003D5B84" w:rsidRDefault="00C2212D" w:rsidP="00E77E1F">
    <w:pPr>
      <w:pStyle w:val="Header"/>
      <w:tabs>
        <w:tab w:val="clear" w:pos="4320"/>
        <w:tab w:val="clear" w:pos="8640"/>
        <w:tab w:val="left" w:pos="7938"/>
        <w:tab w:val="right" w:pos="8789"/>
      </w:tabs>
      <w:rPr>
        <w:rStyle w:val="NomorHala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4F25"/>
    <w:multiLevelType w:val="hybridMultilevel"/>
    <w:tmpl w:val="0582A7F6"/>
    <w:lvl w:ilvl="0" w:tplc="33EC49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45C94"/>
    <w:multiLevelType w:val="hybridMultilevel"/>
    <w:tmpl w:val="912AA2F4"/>
    <w:lvl w:ilvl="0" w:tplc="A08802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86840"/>
    <w:multiLevelType w:val="hybridMultilevel"/>
    <w:tmpl w:val="57607A00"/>
    <w:lvl w:ilvl="0" w:tplc="B712C36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F43AD"/>
    <w:multiLevelType w:val="hybridMultilevel"/>
    <w:tmpl w:val="FE6873FC"/>
    <w:lvl w:ilvl="0" w:tplc="33EC49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93BD8"/>
    <w:multiLevelType w:val="hybridMultilevel"/>
    <w:tmpl w:val="7C9281C0"/>
    <w:lvl w:ilvl="0" w:tplc="21B2E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86CBE"/>
    <w:multiLevelType w:val="hybridMultilevel"/>
    <w:tmpl w:val="2750AEF4"/>
    <w:lvl w:ilvl="0" w:tplc="33EC49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6F76E50"/>
    <w:multiLevelType w:val="hybridMultilevel"/>
    <w:tmpl w:val="9A74E848"/>
    <w:lvl w:ilvl="0" w:tplc="33EC49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76753D43"/>
    <w:multiLevelType w:val="multilevel"/>
    <w:tmpl w:val="3EC687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8C1E21"/>
    <w:multiLevelType w:val="hybridMultilevel"/>
    <w:tmpl w:val="B144148A"/>
    <w:lvl w:ilvl="0" w:tplc="79A8A496">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97665455">
    <w:abstractNumId w:val="20"/>
  </w:num>
  <w:num w:numId="2" w16cid:durableId="806361550">
    <w:abstractNumId w:val="13"/>
  </w:num>
  <w:num w:numId="3" w16cid:durableId="221642779">
    <w:abstractNumId w:val="25"/>
  </w:num>
  <w:num w:numId="4" w16cid:durableId="326983677">
    <w:abstractNumId w:val="12"/>
  </w:num>
  <w:num w:numId="5" w16cid:durableId="55010373">
    <w:abstractNumId w:val="15"/>
  </w:num>
  <w:num w:numId="6" w16cid:durableId="289820860">
    <w:abstractNumId w:val="21"/>
  </w:num>
  <w:num w:numId="7" w16cid:durableId="1678775133">
    <w:abstractNumId w:val="16"/>
  </w:num>
  <w:num w:numId="8" w16cid:durableId="2028753752">
    <w:abstractNumId w:val="14"/>
  </w:num>
  <w:num w:numId="9" w16cid:durableId="1451823903">
    <w:abstractNumId w:val="9"/>
  </w:num>
  <w:num w:numId="10" w16cid:durableId="1913810246">
    <w:abstractNumId w:val="3"/>
  </w:num>
  <w:num w:numId="11" w16cid:durableId="648093546">
    <w:abstractNumId w:val="2"/>
  </w:num>
  <w:num w:numId="12" w16cid:durableId="1373724007">
    <w:abstractNumId w:val="6"/>
  </w:num>
  <w:num w:numId="13" w16cid:durableId="696197054">
    <w:abstractNumId w:val="4"/>
  </w:num>
  <w:num w:numId="14" w16cid:durableId="1415858984">
    <w:abstractNumId w:val="7"/>
  </w:num>
  <w:num w:numId="15" w16cid:durableId="1492332519">
    <w:abstractNumId w:val="24"/>
  </w:num>
  <w:num w:numId="16" w16cid:durableId="426467708">
    <w:abstractNumId w:val="8"/>
  </w:num>
  <w:num w:numId="17" w16cid:durableId="1726445967">
    <w:abstractNumId w:val="23"/>
  </w:num>
  <w:num w:numId="18" w16cid:durableId="40322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00327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2840845">
    <w:abstractNumId w:val="19"/>
  </w:num>
  <w:num w:numId="21" w16cid:durableId="1646200866">
    <w:abstractNumId w:val="10"/>
  </w:num>
  <w:num w:numId="22" w16cid:durableId="910191652">
    <w:abstractNumId w:val="26"/>
  </w:num>
  <w:num w:numId="23" w16cid:durableId="287198670">
    <w:abstractNumId w:val="17"/>
  </w:num>
  <w:num w:numId="24" w16cid:durableId="1008754638">
    <w:abstractNumId w:val="1"/>
  </w:num>
  <w:num w:numId="25" w16cid:durableId="264047503">
    <w:abstractNumId w:val="22"/>
  </w:num>
  <w:num w:numId="26" w16cid:durableId="261763293">
    <w:abstractNumId w:val="11"/>
  </w:num>
  <w:num w:numId="27" w16cid:durableId="719402294">
    <w:abstractNumId w:val="18"/>
  </w:num>
  <w:num w:numId="28" w16cid:durableId="1205604233">
    <w:abstractNumId w:val="0"/>
  </w:num>
  <w:num w:numId="29" w16cid:durableId="137262786">
    <w:abstractNumId w:val="27"/>
  </w:num>
  <w:num w:numId="30" w16cid:durableId="77132300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wanda Hadinata">
    <w15:presenceInfo w15:providerId="Windows Live" w15:userId="e8fc18302be0a2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v5sa0t9dtzxgesf26pxta95pfwt9da5rsz&quot;&gt;PhD-TP-Converted&lt;record-ids&gt;&lt;item&gt;6258&lt;/item&gt;&lt;item&gt;7752&lt;/item&gt;&lt;item&gt;8055&lt;/item&gt;&lt;item&gt;8613&lt;/item&gt;&lt;item&gt;8614&lt;/item&gt;&lt;item&gt;8615&lt;/item&gt;&lt;item&gt;8616&lt;/item&gt;&lt;item&gt;8617&lt;/item&gt;&lt;item&gt;8618&lt;/item&gt;&lt;item&gt;8619&lt;/item&gt;&lt;item&gt;8620&lt;/item&gt;&lt;item&gt;8621&lt;/item&gt;&lt;item&gt;8623&lt;/item&gt;&lt;item&gt;8624&lt;/item&gt;&lt;item&gt;8625&lt;/item&gt;&lt;item&gt;8626&lt;/item&gt;&lt;item&gt;8628&lt;/item&gt;&lt;item&gt;8629&lt;/item&gt;&lt;item&gt;8630&lt;/item&gt;&lt;item&gt;8631&lt;/item&gt;&lt;item&gt;8632&lt;/item&gt;&lt;item&gt;8633&lt;/item&gt;&lt;item&gt;8634&lt;/item&gt;&lt;item&gt;8635&lt;/item&gt;&lt;item&gt;8636&lt;/item&gt;&lt;item&gt;8637&lt;/item&gt;&lt;item&gt;8638&lt;/item&gt;&lt;item&gt;8639&lt;/item&gt;&lt;item&gt;8640&lt;/item&gt;&lt;item&gt;8641&lt;/item&gt;&lt;item&gt;8642&lt;/item&gt;&lt;item&gt;8643&lt;/item&gt;&lt;item&gt;8644&lt;/item&gt;&lt;item&gt;8645&lt;/item&gt;&lt;item&gt;8646&lt;/item&gt;&lt;item&gt;8647&lt;/item&gt;&lt;item&gt;8648&lt;/item&gt;&lt;item&gt;8649&lt;/item&gt;&lt;item&gt;8650&lt;/item&gt;&lt;item&gt;8651&lt;/item&gt;&lt;item&gt;8652&lt;/item&gt;&lt;item&gt;8654&lt;/item&gt;&lt;item&gt;8655&lt;/item&gt;&lt;item&gt;8656&lt;/item&gt;&lt;item&gt;8657&lt;/item&gt;&lt;/record-ids&gt;&lt;/item&gt;&lt;/Libraries&gt;"/>
  </w:docVars>
  <w:rsids>
    <w:rsidRoot w:val="007D0AC6"/>
    <w:rsid w:val="000013CF"/>
    <w:rsid w:val="00001E59"/>
    <w:rsid w:val="00002882"/>
    <w:rsid w:val="0000385F"/>
    <w:rsid w:val="00005EFC"/>
    <w:rsid w:val="00007744"/>
    <w:rsid w:val="000106D0"/>
    <w:rsid w:val="00012CEF"/>
    <w:rsid w:val="00014633"/>
    <w:rsid w:val="000157FD"/>
    <w:rsid w:val="0001593E"/>
    <w:rsid w:val="00015F2A"/>
    <w:rsid w:val="00017858"/>
    <w:rsid w:val="000209BC"/>
    <w:rsid w:val="0002123A"/>
    <w:rsid w:val="00022D47"/>
    <w:rsid w:val="00025D8E"/>
    <w:rsid w:val="00027142"/>
    <w:rsid w:val="000279BE"/>
    <w:rsid w:val="00034C84"/>
    <w:rsid w:val="000404B4"/>
    <w:rsid w:val="000416A3"/>
    <w:rsid w:val="000437AE"/>
    <w:rsid w:val="000442C6"/>
    <w:rsid w:val="000474E3"/>
    <w:rsid w:val="00047710"/>
    <w:rsid w:val="00050148"/>
    <w:rsid w:val="00050A03"/>
    <w:rsid w:val="000523C5"/>
    <w:rsid w:val="00053FB7"/>
    <w:rsid w:val="00055A11"/>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2C68"/>
    <w:rsid w:val="000A592D"/>
    <w:rsid w:val="000A643C"/>
    <w:rsid w:val="000A7ACA"/>
    <w:rsid w:val="000B0641"/>
    <w:rsid w:val="000B1AEE"/>
    <w:rsid w:val="000B5480"/>
    <w:rsid w:val="000B682B"/>
    <w:rsid w:val="000C03DA"/>
    <w:rsid w:val="000C1807"/>
    <w:rsid w:val="000C2E54"/>
    <w:rsid w:val="000C4B17"/>
    <w:rsid w:val="000C730A"/>
    <w:rsid w:val="000D099B"/>
    <w:rsid w:val="000D1377"/>
    <w:rsid w:val="000D3712"/>
    <w:rsid w:val="000D50C8"/>
    <w:rsid w:val="000D6591"/>
    <w:rsid w:val="000D67F7"/>
    <w:rsid w:val="000D6BC3"/>
    <w:rsid w:val="000E02F6"/>
    <w:rsid w:val="000E0AE1"/>
    <w:rsid w:val="000E0C84"/>
    <w:rsid w:val="000E0CE9"/>
    <w:rsid w:val="000E0E3C"/>
    <w:rsid w:val="000E1155"/>
    <w:rsid w:val="000E19D2"/>
    <w:rsid w:val="000E1C9D"/>
    <w:rsid w:val="000E28E0"/>
    <w:rsid w:val="000E4242"/>
    <w:rsid w:val="000E46C5"/>
    <w:rsid w:val="000E46CF"/>
    <w:rsid w:val="000E4FD6"/>
    <w:rsid w:val="000E708C"/>
    <w:rsid w:val="000F09BB"/>
    <w:rsid w:val="000F279B"/>
    <w:rsid w:val="000F29E1"/>
    <w:rsid w:val="000F61E2"/>
    <w:rsid w:val="000F703D"/>
    <w:rsid w:val="000F7ED5"/>
    <w:rsid w:val="0010046E"/>
    <w:rsid w:val="001028FB"/>
    <w:rsid w:val="00102A61"/>
    <w:rsid w:val="001041EB"/>
    <w:rsid w:val="001045B1"/>
    <w:rsid w:val="00104BF1"/>
    <w:rsid w:val="00106F02"/>
    <w:rsid w:val="001078A8"/>
    <w:rsid w:val="00107904"/>
    <w:rsid w:val="00111779"/>
    <w:rsid w:val="001129DE"/>
    <w:rsid w:val="00112FC8"/>
    <w:rsid w:val="0011369D"/>
    <w:rsid w:val="00113F18"/>
    <w:rsid w:val="00114470"/>
    <w:rsid w:val="00117326"/>
    <w:rsid w:val="00117C85"/>
    <w:rsid w:val="00121C37"/>
    <w:rsid w:val="00122833"/>
    <w:rsid w:val="0012288F"/>
    <w:rsid w:val="00122C6F"/>
    <w:rsid w:val="001257A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457"/>
    <w:rsid w:val="00153B62"/>
    <w:rsid w:val="00153D77"/>
    <w:rsid w:val="00154C55"/>
    <w:rsid w:val="00157C06"/>
    <w:rsid w:val="00161845"/>
    <w:rsid w:val="00162849"/>
    <w:rsid w:val="001647F4"/>
    <w:rsid w:val="00166432"/>
    <w:rsid w:val="001669C6"/>
    <w:rsid w:val="00167012"/>
    <w:rsid w:val="001671A8"/>
    <w:rsid w:val="0016761A"/>
    <w:rsid w:val="00167B83"/>
    <w:rsid w:val="00167BE2"/>
    <w:rsid w:val="00171A0C"/>
    <w:rsid w:val="0017238E"/>
    <w:rsid w:val="001732A4"/>
    <w:rsid w:val="00174487"/>
    <w:rsid w:val="00177E2C"/>
    <w:rsid w:val="00180992"/>
    <w:rsid w:val="00180FD2"/>
    <w:rsid w:val="00180FD4"/>
    <w:rsid w:val="00181509"/>
    <w:rsid w:val="00181965"/>
    <w:rsid w:val="00185202"/>
    <w:rsid w:val="00187B69"/>
    <w:rsid w:val="0019050C"/>
    <w:rsid w:val="001908BB"/>
    <w:rsid w:val="00192E8C"/>
    <w:rsid w:val="0019377B"/>
    <w:rsid w:val="0019391D"/>
    <w:rsid w:val="00193F7B"/>
    <w:rsid w:val="00195579"/>
    <w:rsid w:val="00195D4B"/>
    <w:rsid w:val="001A0839"/>
    <w:rsid w:val="001A1D9A"/>
    <w:rsid w:val="001A33EF"/>
    <w:rsid w:val="001A59D8"/>
    <w:rsid w:val="001A6B2F"/>
    <w:rsid w:val="001B1B4D"/>
    <w:rsid w:val="001B2439"/>
    <w:rsid w:val="001B2EF9"/>
    <w:rsid w:val="001B4AB3"/>
    <w:rsid w:val="001B5250"/>
    <w:rsid w:val="001B5719"/>
    <w:rsid w:val="001B621C"/>
    <w:rsid w:val="001B64D0"/>
    <w:rsid w:val="001B6BD4"/>
    <w:rsid w:val="001B7915"/>
    <w:rsid w:val="001C0FE6"/>
    <w:rsid w:val="001C19EB"/>
    <w:rsid w:val="001C1DDC"/>
    <w:rsid w:val="001C7AC5"/>
    <w:rsid w:val="001D04CA"/>
    <w:rsid w:val="001D19C3"/>
    <w:rsid w:val="001D2108"/>
    <w:rsid w:val="001D218B"/>
    <w:rsid w:val="001D3344"/>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570F"/>
    <w:rsid w:val="001F6170"/>
    <w:rsid w:val="001F63D7"/>
    <w:rsid w:val="001F6ACF"/>
    <w:rsid w:val="001F6FB1"/>
    <w:rsid w:val="0020266D"/>
    <w:rsid w:val="00204431"/>
    <w:rsid w:val="0020464A"/>
    <w:rsid w:val="00204A25"/>
    <w:rsid w:val="00204C12"/>
    <w:rsid w:val="0020608E"/>
    <w:rsid w:val="002073B6"/>
    <w:rsid w:val="002076CA"/>
    <w:rsid w:val="002079DD"/>
    <w:rsid w:val="00212DCC"/>
    <w:rsid w:val="002141C1"/>
    <w:rsid w:val="00215A82"/>
    <w:rsid w:val="00216F2A"/>
    <w:rsid w:val="00220914"/>
    <w:rsid w:val="0022191D"/>
    <w:rsid w:val="00221D61"/>
    <w:rsid w:val="00221FB3"/>
    <w:rsid w:val="002224C4"/>
    <w:rsid w:val="00222701"/>
    <w:rsid w:val="00224456"/>
    <w:rsid w:val="00224488"/>
    <w:rsid w:val="00225BEA"/>
    <w:rsid w:val="00225C1C"/>
    <w:rsid w:val="002264FA"/>
    <w:rsid w:val="00230440"/>
    <w:rsid w:val="00230AAB"/>
    <w:rsid w:val="00231A19"/>
    <w:rsid w:val="00232081"/>
    <w:rsid w:val="00232DA1"/>
    <w:rsid w:val="002351A8"/>
    <w:rsid w:val="002351E6"/>
    <w:rsid w:val="0023645A"/>
    <w:rsid w:val="002378BD"/>
    <w:rsid w:val="00237B26"/>
    <w:rsid w:val="00240303"/>
    <w:rsid w:val="0024180A"/>
    <w:rsid w:val="0024268D"/>
    <w:rsid w:val="00246897"/>
    <w:rsid w:val="00250442"/>
    <w:rsid w:val="00250A66"/>
    <w:rsid w:val="00254EC2"/>
    <w:rsid w:val="002550AB"/>
    <w:rsid w:val="00255388"/>
    <w:rsid w:val="00256322"/>
    <w:rsid w:val="002575A8"/>
    <w:rsid w:val="00260476"/>
    <w:rsid w:val="002604CA"/>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297"/>
    <w:rsid w:val="0028450D"/>
    <w:rsid w:val="00291EBF"/>
    <w:rsid w:val="00296D8E"/>
    <w:rsid w:val="002A076D"/>
    <w:rsid w:val="002A0772"/>
    <w:rsid w:val="002A276C"/>
    <w:rsid w:val="002B0601"/>
    <w:rsid w:val="002B10C7"/>
    <w:rsid w:val="002B613B"/>
    <w:rsid w:val="002B66EF"/>
    <w:rsid w:val="002B6EC9"/>
    <w:rsid w:val="002B7609"/>
    <w:rsid w:val="002C0665"/>
    <w:rsid w:val="002C2C92"/>
    <w:rsid w:val="002C4131"/>
    <w:rsid w:val="002C4749"/>
    <w:rsid w:val="002C49CF"/>
    <w:rsid w:val="002C6317"/>
    <w:rsid w:val="002D07B9"/>
    <w:rsid w:val="002D0C71"/>
    <w:rsid w:val="002D0F04"/>
    <w:rsid w:val="002D31A6"/>
    <w:rsid w:val="002D4A56"/>
    <w:rsid w:val="002D55DD"/>
    <w:rsid w:val="002D778E"/>
    <w:rsid w:val="002D797A"/>
    <w:rsid w:val="002E0BC4"/>
    <w:rsid w:val="002E184C"/>
    <w:rsid w:val="002E2CAE"/>
    <w:rsid w:val="002E60FC"/>
    <w:rsid w:val="002E617E"/>
    <w:rsid w:val="002E6409"/>
    <w:rsid w:val="002F137A"/>
    <w:rsid w:val="002F2456"/>
    <w:rsid w:val="002F267D"/>
    <w:rsid w:val="002F3449"/>
    <w:rsid w:val="002F3D30"/>
    <w:rsid w:val="002F3F00"/>
    <w:rsid w:val="002F41A4"/>
    <w:rsid w:val="002F48E3"/>
    <w:rsid w:val="002F6BBA"/>
    <w:rsid w:val="002F6DFA"/>
    <w:rsid w:val="002F7C5F"/>
    <w:rsid w:val="0030038F"/>
    <w:rsid w:val="00302D7F"/>
    <w:rsid w:val="00305125"/>
    <w:rsid w:val="00306442"/>
    <w:rsid w:val="003069FB"/>
    <w:rsid w:val="00310046"/>
    <w:rsid w:val="00312C0C"/>
    <w:rsid w:val="00313AA2"/>
    <w:rsid w:val="003200C9"/>
    <w:rsid w:val="003209C7"/>
    <w:rsid w:val="00322BC2"/>
    <w:rsid w:val="0032306D"/>
    <w:rsid w:val="00325373"/>
    <w:rsid w:val="00326170"/>
    <w:rsid w:val="003263E9"/>
    <w:rsid w:val="00326D35"/>
    <w:rsid w:val="003301D1"/>
    <w:rsid w:val="00331183"/>
    <w:rsid w:val="00331B83"/>
    <w:rsid w:val="00332063"/>
    <w:rsid w:val="00332EAD"/>
    <w:rsid w:val="00333AB9"/>
    <w:rsid w:val="00333C06"/>
    <w:rsid w:val="0033459B"/>
    <w:rsid w:val="00335BE8"/>
    <w:rsid w:val="003370CF"/>
    <w:rsid w:val="00337C87"/>
    <w:rsid w:val="00341292"/>
    <w:rsid w:val="0034265F"/>
    <w:rsid w:val="003437DD"/>
    <w:rsid w:val="00343A49"/>
    <w:rsid w:val="0034452C"/>
    <w:rsid w:val="00346441"/>
    <w:rsid w:val="003475EC"/>
    <w:rsid w:val="0035076B"/>
    <w:rsid w:val="00352BEB"/>
    <w:rsid w:val="00353885"/>
    <w:rsid w:val="00354A58"/>
    <w:rsid w:val="00356070"/>
    <w:rsid w:val="0035680C"/>
    <w:rsid w:val="00361EB1"/>
    <w:rsid w:val="003629D1"/>
    <w:rsid w:val="003637CE"/>
    <w:rsid w:val="003714C7"/>
    <w:rsid w:val="003715EC"/>
    <w:rsid w:val="00373753"/>
    <w:rsid w:val="0037476F"/>
    <w:rsid w:val="003751C8"/>
    <w:rsid w:val="00376867"/>
    <w:rsid w:val="00376A96"/>
    <w:rsid w:val="003772AC"/>
    <w:rsid w:val="00380179"/>
    <w:rsid w:val="0038168A"/>
    <w:rsid w:val="00381E56"/>
    <w:rsid w:val="003826FF"/>
    <w:rsid w:val="003847DA"/>
    <w:rsid w:val="003850DF"/>
    <w:rsid w:val="00393D9D"/>
    <w:rsid w:val="00393E61"/>
    <w:rsid w:val="00396D02"/>
    <w:rsid w:val="003A0041"/>
    <w:rsid w:val="003A1B9B"/>
    <w:rsid w:val="003A1C3E"/>
    <w:rsid w:val="003A2810"/>
    <w:rsid w:val="003A2970"/>
    <w:rsid w:val="003A496C"/>
    <w:rsid w:val="003A4FB7"/>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11CE"/>
    <w:rsid w:val="003C194F"/>
    <w:rsid w:val="003C1A33"/>
    <w:rsid w:val="003C3E42"/>
    <w:rsid w:val="003C4B05"/>
    <w:rsid w:val="003C578B"/>
    <w:rsid w:val="003C72E2"/>
    <w:rsid w:val="003D07D2"/>
    <w:rsid w:val="003D3E9F"/>
    <w:rsid w:val="003D5B84"/>
    <w:rsid w:val="003D6B19"/>
    <w:rsid w:val="003D79CF"/>
    <w:rsid w:val="003E0207"/>
    <w:rsid w:val="003E0E36"/>
    <w:rsid w:val="003E304D"/>
    <w:rsid w:val="003E4AA5"/>
    <w:rsid w:val="003E4DD5"/>
    <w:rsid w:val="003F0964"/>
    <w:rsid w:val="003F18A1"/>
    <w:rsid w:val="003F1D93"/>
    <w:rsid w:val="003F2EB6"/>
    <w:rsid w:val="003F4897"/>
    <w:rsid w:val="003F6587"/>
    <w:rsid w:val="003F7ECD"/>
    <w:rsid w:val="00402C7D"/>
    <w:rsid w:val="00403500"/>
    <w:rsid w:val="00403A74"/>
    <w:rsid w:val="00407351"/>
    <w:rsid w:val="00407C2D"/>
    <w:rsid w:val="004106DF"/>
    <w:rsid w:val="00410D51"/>
    <w:rsid w:val="00411524"/>
    <w:rsid w:val="00411A71"/>
    <w:rsid w:val="00411C0C"/>
    <w:rsid w:val="00412A55"/>
    <w:rsid w:val="0041364A"/>
    <w:rsid w:val="0041399A"/>
    <w:rsid w:val="00414535"/>
    <w:rsid w:val="00414EA0"/>
    <w:rsid w:val="00420D64"/>
    <w:rsid w:val="004224DB"/>
    <w:rsid w:val="00424E85"/>
    <w:rsid w:val="00425BE9"/>
    <w:rsid w:val="00427072"/>
    <w:rsid w:val="00434077"/>
    <w:rsid w:val="004348E6"/>
    <w:rsid w:val="0043585C"/>
    <w:rsid w:val="00441F35"/>
    <w:rsid w:val="00443205"/>
    <w:rsid w:val="004439D2"/>
    <w:rsid w:val="00445517"/>
    <w:rsid w:val="004461E1"/>
    <w:rsid w:val="004503E9"/>
    <w:rsid w:val="00453463"/>
    <w:rsid w:val="00453F49"/>
    <w:rsid w:val="004550E4"/>
    <w:rsid w:val="004637E8"/>
    <w:rsid w:val="00467368"/>
    <w:rsid w:val="004674CD"/>
    <w:rsid w:val="004710EE"/>
    <w:rsid w:val="00472E56"/>
    <w:rsid w:val="004740EC"/>
    <w:rsid w:val="004750E1"/>
    <w:rsid w:val="00477091"/>
    <w:rsid w:val="004819CF"/>
    <w:rsid w:val="00481DA2"/>
    <w:rsid w:val="00482168"/>
    <w:rsid w:val="00482432"/>
    <w:rsid w:val="00483565"/>
    <w:rsid w:val="00484866"/>
    <w:rsid w:val="004859D6"/>
    <w:rsid w:val="00485FD1"/>
    <w:rsid w:val="0048797E"/>
    <w:rsid w:val="00487DD3"/>
    <w:rsid w:val="004902C8"/>
    <w:rsid w:val="004905D4"/>
    <w:rsid w:val="004907A3"/>
    <w:rsid w:val="00492E44"/>
    <w:rsid w:val="004947B9"/>
    <w:rsid w:val="0049514C"/>
    <w:rsid w:val="00495667"/>
    <w:rsid w:val="004963E0"/>
    <w:rsid w:val="00496DFD"/>
    <w:rsid w:val="004A0C8B"/>
    <w:rsid w:val="004A187E"/>
    <w:rsid w:val="004A1D04"/>
    <w:rsid w:val="004A1F5C"/>
    <w:rsid w:val="004A335F"/>
    <w:rsid w:val="004A3F3D"/>
    <w:rsid w:val="004A46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3838"/>
    <w:rsid w:val="004D7295"/>
    <w:rsid w:val="004E02BD"/>
    <w:rsid w:val="004E03B8"/>
    <w:rsid w:val="004E140A"/>
    <w:rsid w:val="004E154B"/>
    <w:rsid w:val="004E1914"/>
    <w:rsid w:val="004E3613"/>
    <w:rsid w:val="004E3AFD"/>
    <w:rsid w:val="004E3CAD"/>
    <w:rsid w:val="004E497F"/>
    <w:rsid w:val="004E6C69"/>
    <w:rsid w:val="004E7D77"/>
    <w:rsid w:val="004F101E"/>
    <w:rsid w:val="004F252C"/>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3DF1"/>
    <w:rsid w:val="00515455"/>
    <w:rsid w:val="005160A8"/>
    <w:rsid w:val="00516317"/>
    <w:rsid w:val="005172B9"/>
    <w:rsid w:val="005174FF"/>
    <w:rsid w:val="00520EC3"/>
    <w:rsid w:val="0052138C"/>
    <w:rsid w:val="005213A1"/>
    <w:rsid w:val="00521EC1"/>
    <w:rsid w:val="00523156"/>
    <w:rsid w:val="00523362"/>
    <w:rsid w:val="00523B26"/>
    <w:rsid w:val="0052442F"/>
    <w:rsid w:val="00526823"/>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2FDA"/>
    <w:rsid w:val="0054359F"/>
    <w:rsid w:val="00545E9C"/>
    <w:rsid w:val="00547658"/>
    <w:rsid w:val="0054768C"/>
    <w:rsid w:val="00551BBD"/>
    <w:rsid w:val="0055343D"/>
    <w:rsid w:val="0055649A"/>
    <w:rsid w:val="00563102"/>
    <w:rsid w:val="00564AB2"/>
    <w:rsid w:val="00572013"/>
    <w:rsid w:val="00573257"/>
    <w:rsid w:val="00574463"/>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D56"/>
    <w:rsid w:val="00593E92"/>
    <w:rsid w:val="005949F1"/>
    <w:rsid w:val="00594C35"/>
    <w:rsid w:val="005956F7"/>
    <w:rsid w:val="00595CB2"/>
    <w:rsid w:val="005978C8"/>
    <w:rsid w:val="005A0A0F"/>
    <w:rsid w:val="005A1AD0"/>
    <w:rsid w:val="005A2361"/>
    <w:rsid w:val="005A24ED"/>
    <w:rsid w:val="005A2573"/>
    <w:rsid w:val="005A37A1"/>
    <w:rsid w:val="005A4783"/>
    <w:rsid w:val="005A6B87"/>
    <w:rsid w:val="005B0825"/>
    <w:rsid w:val="005B0A84"/>
    <w:rsid w:val="005B2D16"/>
    <w:rsid w:val="005B4DAF"/>
    <w:rsid w:val="005B56A0"/>
    <w:rsid w:val="005B5788"/>
    <w:rsid w:val="005B60D5"/>
    <w:rsid w:val="005B693A"/>
    <w:rsid w:val="005C07ED"/>
    <w:rsid w:val="005C0E61"/>
    <w:rsid w:val="005C11D6"/>
    <w:rsid w:val="005C12EA"/>
    <w:rsid w:val="005C1759"/>
    <w:rsid w:val="005C234E"/>
    <w:rsid w:val="005C494D"/>
    <w:rsid w:val="005D02A3"/>
    <w:rsid w:val="005D02EE"/>
    <w:rsid w:val="005D0C1B"/>
    <w:rsid w:val="005D210E"/>
    <w:rsid w:val="005D3081"/>
    <w:rsid w:val="005D3D27"/>
    <w:rsid w:val="005D464B"/>
    <w:rsid w:val="005D7D3A"/>
    <w:rsid w:val="005D7EB1"/>
    <w:rsid w:val="005E00D4"/>
    <w:rsid w:val="005E51F9"/>
    <w:rsid w:val="005E55C0"/>
    <w:rsid w:val="005E6EF7"/>
    <w:rsid w:val="005E736A"/>
    <w:rsid w:val="005E75FC"/>
    <w:rsid w:val="005F042D"/>
    <w:rsid w:val="005F3D1C"/>
    <w:rsid w:val="005F534C"/>
    <w:rsid w:val="005F75F8"/>
    <w:rsid w:val="005F77D5"/>
    <w:rsid w:val="006044C7"/>
    <w:rsid w:val="00604761"/>
    <w:rsid w:val="00605BDF"/>
    <w:rsid w:val="00605D6F"/>
    <w:rsid w:val="00606B41"/>
    <w:rsid w:val="006123B6"/>
    <w:rsid w:val="00613977"/>
    <w:rsid w:val="0061627D"/>
    <w:rsid w:val="00617711"/>
    <w:rsid w:val="006206C7"/>
    <w:rsid w:val="00622EC4"/>
    <w:rsid w:val="0062488B"/>
    <w:rsid w:val="006327F1"/>
    <w:rsid w:val="0063559C"/>
    <w:rsid w:val="00636167"/>
    <w:rsid w:val="00640F82"/>
    <w:rsid w:val="00642F8E"/>
    <w:rsid w:val="00644417"/>
    <w:rsid w:val="00644424"/>
    <w:rsid w:val="00647075"/>
    <w:rsid w:val="00652C5C"/>
    <w:rsid w:val="00652EBE"/>
    <w:rsid w:val="006549EF"/>
    <w:rsid w:val="00655972"/>
    <w:rsid w:val="00655C14"/>
    <w:rsid w:val="00656420"/>
    <w:rsid w:val="0065699B"/>
    <w:rsid w:val="00656AAA"/>
    <w:rsid w:val="0066111D"/>
    <w:rsid w:val="00662070"/>
    <w:rsid w:val="0066237A"/>
    <w:rsid w:val="006628A9"/>
    <w:rsid w:val="0066416E"/>
    <w:rsid w:val="00665A9F"/>
    <w:rsid w:val="00665B37"/>
    <w:rsid w:val="00665DA0"/>
    <w:rsid w:val="006718F2"/>
    <w:rsid w:val="006719D8"/>
    <w:rsid w:val="0067364F"/>
    <w:rsid w:val="00675D81"/>
    <w:rsid w:val="00676455"/>
    <w:rsid w:val="00676EB9"/>
    <w:rsid w:val="00677E6B"/>
    <w:rsid w:val="00682510"/>
    <w:rsid w:val="00682661"/>
    <w:rsid w:val="00682B00"/>
    <w:rsid w:val="006832E6"/>
    <w:rsid w:val="00685AA5"/>
    <w:rsid w:val="00685FB4"/>
    <w:rsid w:val="006863DA"/>
    <w:rsid w:val="00687CA7"/>
    <w:rsid w:val="00687D3A"/>
    <w:rsid w:val="006925E2"/>
    <w:rsid w:val="006955DB"/>
    <w:rsid w:val="006A0231"/>
    <w:rsid w:val="006A090C"/>
    <w:rsid w:val="006A1384"/>
    <w:rsid w:val="006A34DA"/>
    <w:rsid w:val="006A49C4"/>
    <w:rsid w:val="006A4D7D"/>
    <w:rsid w:val="006A6246"/>
    <w:rsid w:val="006A68F6"/>
    <w:rsid w:val="006A6AEE"/>
    <w:rsid w:val="006B027E"/>
    <w:rsid w:val="006B0965"/>
    <w:rsid w:val="006B6754"/>
    <w:rsid w:val="006B6B0F"/>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D6BEB"/>
    <w:rsid w:val="006E19D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70124C"/>
    <w:rsid w:val="007017C6"/>
    <w:rsid w:val="007027BB"/>
    <w:rsid w:val="00705140"/>
    <w:rsid w:val="007066C5"/>
    <w:rsid w:val="007068FA"/>
    <w:rsid w:val="00710560"/>
    <w:rsid w:val="00710CA7"/>
    <w:rsid w:val="00712FFF"/>
    <w:rsid w:val="007142C8"/>
    <w:rsid w:val="00717A32"/>
    <w:rsid w:val="0072063A"/>
    <w:rsid w:val="00720729"/>
    <w:rsid w:val="007212E2"/>
    <w:rsid w:val="00723DEB"/>
    <w:rsid w:val="007240E7"/>
    <w:rsid w:val="0072522D"/>
    <w:rsid w:val="00725ADC"/>
    <w:rsid w:val="007277F9"/>
    <w:rsid w:val="007301CD"/>
    <w:rsid w:val="00730D3A"/>
    <w:rsid w:val="00731A65"/>
    <w:rsid w:val="00731AEB"/>
    <w:rsid w:val="00735BBC"/>
    <w:rsid w:val="00740C36"/>
    <w:rsid w:val="00741A8F"/>
    <w:rsid w:val="00742008"/>
    <w:rsid w:val="007432B6"/>
    <w:rsid w:val="00743BA0"/>
    <w:rsid w:val="0074778E"/>
    <w:rsid w:val="00747DFD"/>
    <w:rsid w:val="00753C3E"/>
    <w:rsid w:val="00754329"/>
    <w:rsid w:val="007547A1"/>
    <w:rsid w:val="00756A93"/>
    <w:rsid w:val="0075769A"/>
    <w:rsid w:val="00765DEF"/>
    <w:rsid w:val="00766091"/>
    <w:rsid w:val="00766E46"/>
    <w:rsid w:val="00770E6E"/>
    <w:rsid w:val="00771A7C"/>
    <w:rsid w:val="0077230A"/>
    <w:rsid w:val="00772725"/>
    <w:rsid w:val="00773EB7"/>
    <w:rsid w:val="007751AA"/>
    <w:rsid w:val="00777AD7"/>
    <w:rsid w:val="00784C44"/>
    <w:rsid w:val="007912CE"/>
    <w:rsid w:val="007934C4"/>
    <w:rsid w:val="0079451D"/>
    <w:rsid w:val="00795966"/>
    <w:rsid w:val="007A0200"/>
    <w:rsid w:val="007A04C8"/>
    <w:rsid w:val="007A0A86"/>
    <w:rsid w:val="007A1461"/>
    <w:rsid w:val="007A3102"/>
    <w:rsid w:val="007A3B30"/>
    <w:rsid w:val="007A3FC0"/>
    <w:rsid w:val="007A49BA"/>
    <w:rsid w:val="007A609F"/>
    <w:rsid w:val="007A7060"/>
    <w:rsid w:val="007A7484"/>
    <w:rsid w:val="007A7968"/>
    <w:rsid w:val="007B3EF9"/>
    <w:rsid w:val="007B57A1"/>
    <w:rsid w:val="007B7535"/>
    <w:rsid w:val="007C0D3D"/>
    <w:rsid w:val="007C2A08"/>
    <w:rsid w:val="007C60D8"/>
    <w:rsid w:val="007C7E7F"/>
    <w:rsid w:val="007D05F9"/>
    <w:rsid w:val="007D0AC6"/>
    <w:rsid w:val="007D2077"/>
    <w:rsid w:val="007D4DC3"/>
    <w:rsid w:val="007D60C6"/>
    <w:rsid w:val="007D7A78"/>
    <w:rsid w:val="007E1B1E"/>
    <w:rsid w:val="007E4698"/>
    <w:rsid w:val="007E5812"/>
    <w:rsid w:val="007E68A5"/>
    <w:rsid w:val="007E7A95"/>
    <w:rsid w:val="007F1EC7"/>
    <w:rsid w:val="007F286F"/>
    <w:rsid w:val="007F2C82"/>
    <w:rsid w:val="007F36F4"/>
    <w:rsid w:val="007F3EAF"/>
    <w:rsid w:val="007F40B0"/>
    <w:rsid w:val="007F48C9"/>
    <w:rsid w:val="007F5F38"/>
    <w:rsid w:val="007F665B"/>
    <w:rsid w:val="00803E97"/>
    <w:rsid w:val="008042C8"/>
    <w:rsid w:val="00805CFD"/>
    <w:rsid w:val="00805F33"/>
    <w:rsid w:val="00807F15"/>
    <w:rsid w:val="0081359D"/>
    <w:rsid w:val="008136A0"/>
    <w:rsid w:val="00813CDD"/>
    <w:rsid w:val="00814164"/>
    <w:rsid w:val="00814AD7"/>
    <w:rsid w:val="008150ED"/>
    <w:rsid w:val="00815A2E"/>
    <w:rsid w:val="008167BC"/>
    <w:rsid w:val="008168B9"/>
    <w:rsid w:val="00817787"/>
    <w:rsid w:val="00820B4E"/>
    <w:rsid w:val="00822488"/>
    <w:rsid w:val="00822945"/>
    <w:rsid w:val="00822CE1"/>
    <w:rsid w:val="00823B38"/>
    <w:rsid w:val="00823F1C"/>
    <w:rsid w:val="00824697"/>
    <w:rsid w:val="00825834"/>
    <w:rsid w:val="00827A30"/>
    <w:rsid w:val="00827CCE"/>
    <w:rsid w:val="008318B8"/>
    <w:rsid w:val="00831DDD"/>
    <w:rsid w:val="00831FC2"/>
    <w:rsid w:val="00832386"/>
    <w:rsid w:val="008327D0"/>
    <w:rsid w:val="008332DA"/>
    <w:rsid w:val="008344C2"/>
    <w:rsid w:val="00834BAC"/>
    <w:rsid w:val="008352DB"/>
    <w:rsid w:val="00836D01"/>
    <w:rsid w:val="008373F8"/>
    <w:rsid w:val="008379F3"/>
    <w:rsid w:val="00837EA3"/>
    <w:rsid w:val="00840495"/>
    <w:rsid w:val="008439A0"/>
    <w:rsid w:val="00843BE9"/>
    <w:rsid w:val="008462AD"/>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3256"/>
    <w:rsid w:val="008633C4"/>
    <w:rsid w:val="0086508B"/>
    <w:rsid w:val="00866E4F"/>
    <w:rsid w:val="0087156B"/>
    <w:rsid w:val="00872D7E"/>
    <w:rsid w:val="00872DC4"/>
    <w:rsid w:val="00874696"/>
    <w:rsid w:val="008754E6"/>
    <w:rsid w:val="0087776F"/>
    <w:rsid w:val="00880DA6"/>
    <w:rsid w:val="00881A1D"/>
    <w:rsid w:val="0088233C"/>
    <w:rsid w:val="0088280A"/>
    <w:rsid w:val="00883EB7"/>
    <w:rsid w:val="00884999"/>
    <w:rsid w:val="0089137B"/>
    <w:rsid w:val="008914D2"/>
    <w:rsid w:val="00892C9F"/>
    <w:rsid w:val="00892FBD"/>
    <w:rsid w:val="00893846"/>
    <w:rsid w:val="00893AD8"/>
    <w:rsid w:val="00893BBE"/>
    <w:rsid w:val="00893D2C"/>
    <w:rsid w:val="00894D11"/>
    <w:rsid w:val="0089523F"/>
    <w:rsid w:val="008967E5"/>
    <w:rsid w:val="00897BCF"/>
    <w:rsid w:val="008A07FE"/>
    <w:rsid w:val="008A12AD"/>
    <w:rsid w:val="008A1677"/>
    <w:rsid w:val="008A3243"/>
    <w:rsid w:val="008A5452"/>
    <w:rsid w:val="008A6436"/>
    <w:rsid w:val="008A6E5D"/>
    <w:rsid w:val="008B04B3"/>
    <w:rsid w:val="008B060F"/>
    <w:rsid w:val="008B144F"/>
    <w:rsid w:val="008B1A88"/>
    <w:rsid w:val="008B279B"/>
    <w:rsid w:val="008B3B85"/>
    <w:rsid w:val="008B42E3"/>
    <w:rsid w:val="008B4E8C"/>
    <w:rsid w:val="008B5B34"/>
    <w:rsid w:val="008B60B8"/>
    <w:rsid w:val="008B61C2"/>
    <w:rsid w:val="008B7CA2"/>
    <w:rsid w:val="008C12BE"/>
    <w:rsid w:val="008C1B93"/>
    <w:rsid w:val="008C22C7"/>
    <w:rsid w:val="008C38EB"/>
    <w:rsid w:val="008C414B"/>
    <w:rsid w:val="008C54EA"/>
    <w:rsid w:val="008C6701"/>
    <w:rsid w:val="008C671C"/>
    <w:rsid w:val="008D2302"/>
    <w:rsid w:val="008D28A9"/>
    <w:rsid w:val="008D3BDF"/>
    <w:rsid w:val="008D7EA2"/>
    <w:rsid w:val="008E0F80"/>
    <w:rsid w:val="008E1CA4"/>
    <w:rsid w:val="008E3FAA"/>
    <w:rsid w:val="008E737C"/>
    <w:rsid w:val="008F04A3"/>
    <w:rsid w:val="008F05B8"/>
    <w:rsid w:val="008F0C9D"/>
    <w:rsid w:val="008F0D5A"/>
    <w:rsid w:val="008F1C12"/>
    <w:rsid w:val="008F5557"/>
    <w:rsid w:val="008F5A4B"/>
    <w:rsid w:val="008F5EF9"/>
    <w:rsid w:val="008F5F6F"/>
    <w:rsid w:val="00900EC1"/>
    <w:rsid w:val="00901214"/>
    <w:rsid w:val="00904D6D"/>
    <w:rsid w:val="00904EC8"/>
    <w:rsid w:val="009056DD"/>
    <w:rsid w:val="00906951"/>
    <w:rsid w:val="0091187A"/>
    <w:rsid w:val="00912FBC"/>
    <w:rsid w:val="00913D3B"/>
    <w:rsid w:val="00913F75"/>
    <w:rsid w:val="009157C7"/>
    <w:rsid w:val="00915E2C"/>
    <w:rsid w:val="009162AB"/>
    <w:rsid w:val="00921D05"/>
    <w:rsid w:val="0092257C"/>
    <w:rsid w:val="00923121"/>
    <w:rsid w:val="00925CC8"/>
    <w:rsid w:val="00927C0A"/>
    <w:rsid w:val="009314C3"/>
    <w:rsid w:val="009317FD"/>
    <w:rsid w:val="00932F25"/>
    <w:rsid w:val="00933A81"/>
    <w:rsid w:val="009406FF"/>
    <w:rsid w:val="00941203"/>
    <w:rsid w:val="009416C1"/>
    <w:rsid w:val="00942626"/>
    <w:rsid w:val="0094264B"/>
    <w:rsid w:val="0094367D"/>
    <w:rsid w:val="00943FA1"/>
    <w:rsid w:val="00945A5C"/>
    <w:rsid w:val="00946389"/>
    <w:rsid w:val="00946F70"/>
    <w:rsid w:val="0094738D"/>
    <w:rsid w:val="00950EF7"/>
    <w:rsid w:val="00954DC1"/>
    <w:rsid w:val="00955462"/>
    <w:rsid w:val="00956EB6"/>
    <w:rsid w:val="00956F83"/>
    <w:rsid w:val="00956F8E"/>
    <w:rsid w:val="00957C11"/>
    <w:rsid w:val="009617A9"/>
    <w:rsid w:val="00963264"/>
    <w:rsid w:val="009665BE"/>
    <w:rsid w:val="009673AB"/>
    <w:rsid w:val="00970E84"/>
    <w:rsid w:val="00971153"/>
    <w:rsid w:val="009715A6"/>
    <w:rsid w:val="00981036"/>
    <w:rsid w:val="00981E5F"/>
    <w:rsid w:val="00983846"/>
    <w:rsid w:val="0098569F"/>
    <w:rsid w:val="00990CC8"/>
    <w:rsid w:val="0099227E"/>
    <w:rsid w:val="009949C5"/>
    <w:rsid w:val="00997C10"/>
    <w:rsid w:val="009A19B2"/>
    <w:rsid w:val="009A26BB"/>
    <w:rsid w:val="009B1A0E"/>
    <w:rsid w:val="009B3EC0"/>
    <w:rsid w:val="009B4878"/>
    <w:rsid w:val="009B5FE8"/>
    <w:rsid w:val="009B62B1"/>
    <w:rsid w:val="009B76C2"/>
    <w:rsid w:val="009C080D"/>
    <w:rsid w:val="009C142A"/>
    <w:rsid w:val="009C3975"/>
    <w:rsid w:val="009C5293"/>
    <w:rsid w:val="009D0F9A"/>
    <w:rsid w:val="009D41DF"/>
    <w:rsid w:val="009D6766"/>
    <w:rsid w:val="009D709E"/>
    <w:rsid w:val="009E0249"/>
    <w:rsid w:val="009E055A"/>
    <w:rsid w:val="009E0F0F"/>
    <w:rsid w:val="009E2DB3"/>
    <w:rsid w:val="009E352C"/>
    <w:rsid w:val="009E36AC"/>
    <w:rsid w:val="009E41D1"/>
    <w:rsid w:val="009E4FB4"/>
    <w:rsid w:val="009E5694"/>
    <w:rsid w:val="009E585B"/>
    <w:rsid w:val="009E5DBF"/>
    <w:rsid w:val="009E7D5A"/>
    <w:rsid w:val="009F040E"/>
    <w:rsid w:val="009F1F65"/>
    <w:rsid w:val="009F3146"/>
    <w:rsid w:val="00A01765"/>
    <w:rsid w:val="00A02DD3"/>
    <w:rsid w:val="00A04D6C"/>
    <w:rsid w:val="00A05622"/>
    <w:rsid w:val="00A100B6"/>
    <w:rsid w:val="00A1136A"/>
    <w:rsid w:val="00A135A2"/>
    <w:rsid w:val="00A16250"/>
    <w:rsid w:val="00A17296"/>
    <w:rsid w:val="00A17D28"/>
    <w:rsid w:val="00A21621"/>
    <w:rsid w:val="00A22457"/>
    <w:rsid w:val="00A22900"/>
    <w:rsid w:val="00A30168"/>
    <w:rsid w:val="00A31E71"/>
    <w:rsid w:val="00A3312E"/>
    <w:rsid w:val="00A3340E"/>
    <w:rsid w:val="00A40733"/>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061"/>
    <w:rsid w:val="00A6214E"/>
    <w:rsid w:val="00A6261F"/>
    <w:rsid w:val="00A63C1B"/>
    <w:rsid w:val="00A63E41"/>
    <w:rsid w:val="00A662A3"/>
    <w:rsid w:val="00A6661A"/>
    <w:rsid w:val="00A6697F"/>
    <w:rsid w:val="00A70FE7"/>
    <w:rsid w:val="00A71C8A"/>
    <w:rsid w:val="00A71ED6"/>
    <w:rsid w:val="00A73AC5"/>
    <w:rsid w:val="00A74B5C"/>
    <w:rsid w:val="00A760E0"/>
    <w:rsid w:val="00A77E76"/>
    <w:rsid w:val="00A80090"/>
    <w:rsid w:val="00A82646"/>
    <w:rsid w:val="00A82BE8"/>
    <w:rsid w:val="00A85A64"/>
    <w:rsid w:val="00A906B8"/>
    <w:rsid w:val="00A92430"/>
    <w:rsid w:val="00A92A5D"/>
    <w:rsid w:val="00A93118"/>
    <w:rsid w:val="00A93D4E"/>
    <w:rsid w:val="00A94333"/>
    <w:rsid w:val="00A94C5E"/>
    <w:rsid w:val="00A950F7"/>
    <w:rsid w:val="00A952AF"/>
    <w:rsid w:val="00A97D90"/>
    <w:rsid w:val="00AA045A"/>
    <w:rsid w:val="00AA3EC5"/>
    <w:rsid w:val="00AA48F5"/>
    <w:rsid w:val="00AA4B39"/>
    <w:rsid w:val="00AA512B"/>
    <w:rsid w:val="00AA59BE"/>
    <w:rsid w:val="00AA608B"/>
    <w:rsid w:val="00AA6CF2"/>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372C"/>
    <w:rsid w:val="00AD4DF3"/>
    <w:rsid w:val="00AD564C"/>
    <w:rsid w:val="00AD5DF4"/>
    <w:rsid w:val="00AD7639"/>
    <w:rsid w:val="00AE3182"/>
    <w:rsid w:val="00AE43A3"/>
    <w:rsid w:val="00AF095A"/>
    <w:rsid w:val="00AF1119"/>
    <w:rsid w:val="00AF59C3"/>
    <w:rsid w:val="00B011BB"/>
    <w:rsid w:val="00B012F2"/>
    <w:rsid w:val="00B0163B"/>
    <w:rsid w:val="00B017F2"/>
    <w:rsid w:val="00B04312"/>
    <w:rsid w:val="00B0539A"/>
    <w:rsid w:val="00B06669"/>
    <w:rsid w:val="00B06F09"/>
    <w:rsid w:val="00B07DF0"/>
    <w:rsid w:val="00B14782"/>
    <w:rsid w:val="00B1493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27C64"/>
    <w:rsid w:val="00B313EB"/>
    <w:rsid w:val="00B3198A"/>
    <w:rsid w:val="00B34812"/>
    <w:rsid w:val="00B357AE"/>
    <w:rsid w:val="00B37E57"/>
    <w:rsid w:val="00B42FA5"/>
    <w:rsid w:val="00B44E08"/>
    <w:rsid w:val="00B514D3"/>
    <w:rsid w:val="00B51BC7"/>
    <w:rsid w:val="00B52134"/>
    <w:rsid w:val="00B56063"/>
    <w:rsid w:val="00B570B0"/>
    <w:rsid w:val="00B57714"/>
    <w:rsid w:val="00B60880"/>
    <w:rsid w:val="00B61620"/>
    <w:rsid w:val="00B62EFB"/>
    <w:rsid w:val="00B64061"/>
    <w:rsid w:val="00B658B8"/>
    <w:rsid w:val="00B65BB6"/>
    <w:rsid w:val="00B7048C"/>
    <w:rsid w:val="00B71D8A"/>
    <w:rsid w:val="00B73F7D"/>
    <w:rsid w:val="00B743B9"/>
    <w:rsid w:val="00B75E6C"/>
    <w:rsid w:val="00B768D7"/>
    <w:rsid w:val="00B778A3"/>
    <w:rsid w:val="00B809F3"/>
    <w:rsid w:val="00B85932"/>
    <w:rsid w:val="00B87588"/>
    <w:rsid w:val="00B92474"/>
    <w:rsid w:val="00BA0630"/>
    <w:rsid w:val="00BA1C6B"/>
    <w:rsid w:val="00BA2419"/>
    <w:rsid w:val="00BA2A58"/>
    <w:rsid w:val="00BA32EC"/>
    <w:rsid w:val="00BB0F2F"/>
    <w:rsid w:val="00BB1C66"/>
    <w:rsid w:val="00BB3596"/>
    <w:rsid w:val="00BB48F9"/>
    <w:rsid w:val="00BB524D"/>
    <w:rsid w:val="00BB5385"/>
    <w:rsid w:val="00BB5653"/>
    <w:rsid w:val="00BB6E3C"/>
    <w:rsid w:val="00BC06CF"/>
    <w:rsid w:val="00BC133D"/>
    <w:rsid w:val="00BC27AC"/>
    <w:rsid w:val="00BC37CF"/>
    <w:rsid w:val="00BC3E9C"/>
    <w:rsid w:val="00BC4AF5"/>
    <w:rsid w:val="00BC4B07"/>
    <w:rsid w:val="00BC5738"/>
    <w:rsid w:val="00BC5AA5"/>
    <w:rsid w:val="00BC7CC2"/>
    <w:rsid w:val="00BD049F"/>
    <w:rsid w:val="00BD0E9D"/>
    <w:rsid w:val="00BD218A"/>
    <w:rsid w:val="00BD2B38"/>
    <w:rsid w:val="00BD2B86"/>
    <w:rsid w:val="00BD399A"/>
    <w:rsid w:val="00BD557E"/>
    <w:rsid w:val="00BD5B18"/>
    <w:rsid w:val="00BD5F64"/>
    <w:rsid w:val="00BE0201"/>
    <w:rsid w:val="00BE3232"/>
    <w:rsid w:val="00BE4CE1"/>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12D"/>
    <w:rsid w:val="00C22F0A"/>
    <w:rsid w:val="00C2325B"/>
    <w:rsid w:val="00C255F5"/>
    <w:rsid w:val="00C25B1C"/>
    <w:rsid w:val="00C26299"/>
    <w:rsid w:val="00C27564"/>
    <w:rsid w:val="00C311E4"/>
    <w:rsid w:val="00C322BB"/>
    <w:rsid w:val="00C32B5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958"/>
    <w:rsid w:val="00C61929"/>
    <w:rsid w:val="00C62752"/>
    <w:rsid w:val="00C62E71"/>
    <w:rsid w:val="00C63059"/>
    <w:rsid w:val="00C631FE"/>
    <w:rsid w:val="00C63C08"/>
    <w:rsid w:val="00C66CCC"/>
    <w:rsid w:val="00C676A4"/>
    <w:rsid w:val="00C67EA4"/>
    <w:rsid w:val="00C700B6"/>
    <w:rsid w:val="00C70B6B"/>
    <w:rsid w:val="00C7182A"/>
    <w:rsid w:val="00C723B3"/>
    <w:rsid w:val="00C72659"/>
    <w:rsid w:val="00C734AC"/>
    <w:rsid w:val="00C73BD7"/>
    <w:rsid w:val="00C7643D"/>
    <w:rsid w:val="00C80CAC"/>
    <w:rsid w:val="00C81C9C"/>
    <w:rsid w:val="00C8516B"/>
    <w:rsid w:val="00C854C1"/>
    <w:rsid w:val="00C85B81"/>
    <w:rsid w:val="00C86040"/>
    <w:rsid w:val="00C9178F"/>
    <w:rsid w:val="00C93F76"/>
    <w:rsid w:val="00C9655A"/>
    <w:rsid w:val="00C96FCA"/>
    <w:rsid w:val="00C9754D"/>
    <w:rsid w:val="00C975DF"/>
    <w:rsid w:val="00CA5372"/>
    <w:rsid w:val="00CA5D84"/>
    <w:rsid w:val="00CA7219"/>
    <w:rsid w:val="00CB4B06"/>
    <w:rsid w:val="00CB4E1C"/>
    <w:rsid w:val="00CC1960"/>
    <w:rsid w:val="00CD0315"/>
    <w:rsid w:val="00CD2A48"/>
    <w:rsid w:val="00CD4F70"/>
    <w:rsid w:val="00CE1CF3"/>
    <w:rsid w:val="00CE1E9B"/>
    <w:rsid w:val="00CE4BC0"/>
    <w:rsid w:val="00CE59F4"/>
    <w:rsid w:val="00CE70F3"/>
    <w:rsid w:val="00CE7659"/>
    <w:rsid w:val="00CF0E18"/>
    <w:rsid w:val="00CF29A4"/>
    <w:rsid w:val="00CF2F2E"/>
    <w:rsid w:val="00CF4D01"/>
    <w:rsid w:val="00CF624D"/>
    <w:rsid w:val="00CF6E34"/>
    <w:rsid w:val="00D045E4"/>
    <w:rsid w:val="00D0495F"/>
    <w:rsid w:val="00D0506E"/>
    <w:rsid w:val="00D060CE"/>
    <w:rsid w:val="00D066D9"/>
    <w:rsid w:val="00D076EF"/>
    <w:rsid w:val="00D07778"/>
    <w:rsid w:val="00D108C5"/>
    <w:rsid w:val="00D10D7A"/>
    <w:rsid w:val="00D1187F"/>
    <w:rsid w:val="00D11C2D"/>
    <w:rsid w:val="00D1366A"/>
    <w:rsid w:val="00D1618D"/>
    <w:rsid w:val="00D167B1"/>
    <w:rsid w:val="00D16D1B"/>
    <w:rsid w:val="00D21F66"/>
    <w:rsid w:val="00D23781"/>
    <w:rsid w:val="00D238C2"/>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3AC1"/>
    <w:rsid w:val="00D540A4"/>
    <w:rsid w:val="00D54DBC"/>
    <w:rsid w:val="00D5620D"/>
    <w:rsid w:val="00D567F6"/>
    <w:rsid w:val="00D570F3"/>
    <w:rsid w:val="00D61C85"/>
    <w:rsid w:val="00D624E5"/>
    <w:rsid w:val="00D634A8"/>
    <w:rsid w:val="00D64C3D"/>
    <w:rsid w:val="00D6584C"/>
    <w:rsid w:val="00D65A1C"/>
    <w:rsid w:val="00D67099"/>
    <w:rsid w:val="00D71939"/>
    <w:rsid w:val="00D72D27"/>
    <w:rsid w:val="00D73317"/>
    <w:rsid w:val="00D743C8"/>
    <w:rsid w:val="00D743DA"/>
    <w:rsid w:val="00D744B5"/>
    <w:rsid w:val="00D745B1"/>
    <w:rsid w:val="00D74C5F"/>
    <w:rsid w:val="00D753F3"/>
    <w:rsid w:val="00D75893"/>
    <w:rsid w:val="00D772DC"/>
    <w:rsid w:val="00D87373"/>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2432"/>
    <w:rsid w:val="00DB2BC0"/>
    <w:rsid w:val="00DB3D8C"/>
    <w:rsid w:val="00DB3E4C"/>
    <w:rsid w:val="00DB43B8"/>
    <w:rsid w:val="00DB7BD1"/>
    <w:rsid w:val="00DB7C8A"/>
    <w:rsid w:val="00DC2DC5"/>
    <w:rsid w:val="00DC341B"/>
    <w:rsid w:val="00DD0E87"/>
    <w:rsid w:val="00DD2BCD"/>
    <w:rsid w:val="00DD35E7"/>
    <w:rsid w:val="00DD5486"/>
    <w:rsid w:val="00DD650E"/>
    <w:rsid w:val="00DD7968"/>
    <w:rsid w:val="00DE0B7E"/>
    <w:rsid w:val="00DE1418"/>
    <w:rsid w:val="00DE16E6"/>
    <w:rsid w:val="00DE2205"/>
    <w:rsid w:val="00DE421E"/>
    <w:rsid w:val="00DE5454"/>
    <w:rsid w:val="00DE6831"/>
    <w:rsid w:val="00DE7F41"/>
    <w:rsid w:val="00DF0F50"/>
    <w:rsid w:val="00DF2309"/>
    <w:rsid w:val="00DF28DC"/>
    <w:rsid w:val="00DF3742"/>
    <w:rsid w:val="00DF3915"/>
    <w:rsid w:val="00DF44AC"/>
    <w:rsid w:val="00DF4CE2"/>
    <w:rsid w:val="00DF511C"/>
    <w:rsid w:val="00E0168F"/>
    <w:rsid w:val="00E01B65"/>
    <w:rsid w:val="00E102D5"/>
    <w:rsid w:val="00E11851"/>
    <w:rsid w:val="00E12071"/>
    <w:rsid w:val="00E12660"/>
    <w:rsid w:val="00E12838"/>
    <w:rsid w:val="00E12E29"/>
    <w:rsid w:val="00E141D8"/>
    <w:rsid w:val="00E15BBF"/>
    <w:rsid w:val="00E15CB4"/>
    <w:rsid w:val="00E15ECD"/>
    <w:rsid w:val="00E17B14"/>
    <w:rsid w:val="00E230D8"/>
    <w:rsid w:val="00E239E2"/>
    <w:rsid w:val="00E23F00"/>
    <w:rsid w:val="00E24DA7"/>
    <w:rsid w:val="00E2599A"/>
    <w:rsid w:val="00E25FF4"/>
    <w:rsid w:val="00E26A0F"/>
    <w:rsid w:val="00E305A0"/>
    <w:rsid w:val="00E31683"/>
    <w:rsid w:val="00E318D4"/>
    <w:rsid w:val="00E339EE"/>
    <w:rsid w:val="00E3557A"/>
    <w:rsid w:val="00E361C3"/>
    <w:rsid w:val="00E376A5"/>
    <w:rsid w:val="00E4014C"/>
    <w:rsid w:val="00E401FC"/>
    <w:rsid w:val="00E42D1B"/>
    <w:rsid w:val="00E4558E"/>
    <w:rsid w:val="00E45966"/>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274B"/>
    <w:rsid w:val="00E6393C"/>
    <w:rsid w:val="00E67E51"/>
    <w:rsid w:val="00E7169B"/>
    <w:rsid w:val="00E76BE0"/>
    <w:rsid w:val="00E7790B"/>
    <w:rsid w:val="00E77E1F"/>
    <w:rsid w:val="00E81662"/>
    <w:rsid w:val="00E81714"/>
    <w:rsid w:val="00E8589C"/>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5535"/>
    <w:rsid w:val="00EA5EE0"/>
    <w:rsid w:val="00EA70DC"/>
    <w:rsid w:val="00EB0141"/>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1BA"/>
    <w:rsid w:val="00ED527A"/>
    <w:rsid w:val="00ED570E"/>
    <w:rsid w:val="00ED5CFE"/>
    <w:rsid w:val="00ED7AE1"/>
    <w:rsid w:val="00ED7D8C"/>
    <w:rsid w:val="00EE005A"/>
    <w:rsid w:val="00EE05CF"/>
    <w:rsid w:val="00EE077C"/>
    <w:rsid w:val="00EE10AE"/>
    <w:rsid w:val="00EE1663"/>
    <w:rsid w:val="00EE2DA2"/>
    <w:rsid w:val="00EE4290"/>
    <w:rsid w:val="00EE5658"/>
    <w:rsid w:val="00EE589E"/>
    <w:rsid w:val="00EE76D0"/>
    <w:rsid w:val="00EE7C89"/>
    <w:rsid w:val="00EE7FB7"/>
    <w:rsid w:val="00EF1185"/>
    <w:rsid w:val="00EF3891"/>
    <w:rsid w:val="00EF754D"/>
    <w:rsid w:val="00F027E9"/>
    <w:rsid w:val="00F0775E"/>
    <w:rsid w:val="00F114A6"/>
    <w:rsid w:val="00F150AF"/>
    <w:rsid w:val="00F15BF4"/>
    <w:rsid w:val="00F15F69"/>
    <w:rsid w:val="00F1612D"/>
    <w:rsid w:val="00F173DD"/>
    <w:rsid w:val="00F21119"/>
    <w:rsid w:val="00F25164"/>
    <w:rsid w:val="00F277D3"/>
    <w:rsid w:val="00F30997"/>
    <w:rsid w:val="00F32896"/>
    <w:rsid w:val="00F33C08"/>
    <w:rsid w:val="00F34D21"/>
    <w:rsid w:val="00F35ADB"/>
    <w:rsid w:val="00F376F4"/>
    <w:rsid w:val="00F40CD6"/>
    <w:rsid w:val="00F41AE7"/>
    <w:rsid w:val="00F41F44"/>
    <w:rsid w:val="00F42C4B"/>
    <w:rsid w:val="00F42D17"/>
    <w:rsid w:val="00F457A0"/>
    <w:rsid w:val="00F46492"/>
    <w:rsid w:val="00F477B5"/>
    <w:rsid w:val="00F47B01"/>
    <w:rsid w:val="00F5057E"/>
    <w:rsid w:val="00F53410"/>
    <w:rsid w:val="00F541F8"/>
    <w:rsid w:val="00F5470A"/>
    <w:rsid w:val="00F551E6"/>
    <w:rsid w:val="00F5563D"/>
    <w:rsid w:val="00F56714"/>
    <w:rsid w:val="00F56891"/>
    <w:rsid w:val="00F64CD4"/>
    <w:rsid w:val="00F64F37"/>
    <w:rsid w:val="00F65AB2"/>
    <w:rsid w:val="00F73E78"/>
    <w:rsid w:val="00F740C2"/>
    <w:rsid w:val="00F7591E"/>
    <w:rsid w:val="00F75EF9"/>
    <w:rsid w:val="00F77A9B"/>
    <w:rsid w:val="00F83035"/>
    <w:rsid w:val="00F86681"/>
    <w:rsid w:val="00F866B0"/>
    <w:rsid w:val="00F869EF"/>
    <w:rsid w:val="00F86BE4"/>
    <w:rsid w:val="00F86C7B"/>
    <w:rsid w:val="00F86D61"/>
    <w:rsid w:val="00F905B6"/>
    <w:rsid w:val="00F90B31"/>
    <w:rsid w:val="00F91187"/>
    <w:rsid w:val="00F914B2"/>
    <w:rsid w:val="00F926B9"/>
    <w:rsid w:val="00F9541D"/>
    <w:rsid w:val="00F97DB9"/>
    <w:rsid w:val="00FA0403"/>
    <w:rsid w:val="00FA0CE6"/>
    <w:rsid w:val="00FA2786"/>
    <w:rsid w:val="00FA35FB"/>
    <w:rsid w:val="00FA5742"/>
    <w:rsid w:val="00FA597D"/>
    <w:rsid w:val="00FA5B9A"/>
    <w:rsid w:val="00FA6CE4"/>
    <w:rsid w:val="00FB01B9"/>
    <w:rsid w:val="00FB1A00"/>
    <w:rsid w:val="00FB21DA"/>
    <w:rsid w:val="00FB3772"/>
    <w:rsid w:val="00FB763A"/>
    <w:rsid w:val="00FB79C0"/>
    <w:rsid w:val="00FC2EB8"/>
    <w:rsid w:val="00FC5C43"/>
    <w:rsid w:val="00FD1598"/>
    <w:rsid w:val="00FD44E4"/>
    <w:rsid w:val="00FD4C72"/>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069A0792-6D2B-4E96-825D-436B90FF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val="pl-PL" w:eastAsia="pl-PL"/>
    </w:rPr>
  </w:style>
  <w:style w:type="paragraph" w:styleId="Judul9">
    <w:name w:val="heading 9"/>
    <w:basedOn w:val="Normal"/>
    <w:next w:val="Normal"/>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rsid w:val="00102A61"/>
    <w:rPr>
      <w:color w:val="0000FF"/>
      <w:u w:val="single"/>
    </w:rPr>
  </w:style>
  <w:style w:type="paragraph" w:styleId="Header">
    <w:name w:val="header"/>
    <w:basedOn w:val="Normal"/>
    <w:link w:val="HeaderK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basedOn w:val="FontParagrafDefault"/>
    <w:semiHidden/>
    <w:rsid w:val="00FA0403"/>
    <w:rPr>
      <w:vertAlign w:val="superscript"/>
    </w:rPr>
  </w:style>
  <w:style w:type="paragraph" w:styleId="TeksCatatanKaki">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FontParagrafDefaul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basedOn w:val="FontParagrafDefault"/>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basedOn w:val="FontParagrafDefaul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Penekanan">
    <w:name w:val="Emphasis"/>
    <w:basedOn w:val="FontParagrafDefaul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link w:val="DaftarParagrafKAR"/>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uiPriority w:val="1"/>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st">
    <w:name w:val="st"/>
    <w:basedOn w:val="FontParagrafDefault"/>
    <w:rsid w:val="00956EB6"/>
  </w:style>
  <w:style w:type="character" w:customStyle="1" w:styleId="fontstyle01">
    <w:name w:val="fontstyle01"/>
    <w:basedOn w:val="FontParagrafDefault"/>
    <w:rsid w:val="00F15BF4"/>
    <w:rPr>
      <w:rFonts w:ascii="NimbusRomNo9L-Medi" w:hAnsi="NimbusRomNo9L-Medi" w:hint="default"/>
      <w:b/>
      <w:bCs/>
      <w:i w:val="0"/>
      <w:iCs w:val="0"/>
      <w:color w:val="000000"/>
      <w:sz w:val="20"/>
      <w:szCs w:val="20"/>
    </w:rPr>
  </w:style>
  <w:style w:type="character" w:customStyle="1" w:styleId="fontstyle21">
    <w:name w:val="fontstyle21"/>
    <w:basedOn w:val="FontParagrafDefaul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FontParagrafDefault"/>
    <w:uiPriority w:val="99"/>
    <w:semiHidden/>
    <w:unhideWhenUsed/>
    <w:rsid w:val="00E619D6"/>
    <w:rPr>
      <w:color w:val="605E5C"/>
      <w:shd w:val="clear" w:color="auto" w:fill="E1DFDD"/>
    </w:rPr>
  </w:style>
  <w:style w:type="character" w:customStyle="1" w:styleId="HeaderKAR">
    <w:name w:val="Header KAR"/>
    <w:basedOn w:val="FontParagrafDefault"/>
    <w:link w:val="Header"/>
    <w:rsid w:val="004D3838"/>
  </w:style>
  <w:style w:type="paragraph" w:customStyle="1" w:styleId="intro">
    <w:name w:val="intro"/>
    <w:basedOn w:val="Normal"/>
    <w:rsid w:val="00942626"/>
    <w:pPr>
      <w:spacing w:before="100" w:beforeAutospacing="1" w:after="100" w:afterAutospacing="1"/>
    </w:pPr>
    <w:rPr>
      <w:sz w:val="24"/>
      <w:szCs w:val="24"/>
      <w:lang w:val="en-AU" w:eastAsia="en-AU"/>
    </w:rPr>
  </w:style>
  <w:style w:type="paragraph" w:customStyle="1" w:styleId="EndNoteBibliography">
    <w:name w:val="EndNote Bibliography"/>
    <w:basedOn w:val="Normal"/>
    <w:link w:val="EndNoteBibliographyChar"/>
    <w:rsid w:val="002E617E"/>
    <w:pPr>
      <w:jc w:val="both"/>
    </w:pPr>
    <w:rPr>
      <w:noProof/>
    </w:rPr>
  </w:style>
  <w:style w:type="character" w:customStyle="1" w:styleId="EndNoteBibliographyChar">
    <w:name w:val="EndNote Bibliography Char"/>
    <w:basedOn w:val="FontParagrafDefault"/>
    <w:link w:val="EndNoteBibliography"/>
    <w:rsid w:val="002E617E"/>
    <w:rPr>
      <w:noProof/>
    </w:rPr>
  </w:style>
  <w:style w:type="table" w:customStyle="1" w:styleId="TableGrid3">
    <w:name w:val="Table Grid3"/>
    <w:basedOn w:val="TabelNormal"/>
    <w:next w:val="KisiTabel"/>
    <w:uiPriority w:val="59"/>
    <w:rsid w:val="002E61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9C3975"/>
    <w:rPr>
      <w:sz w:val="16"/>
      <w:szCs w:val="16"/>
    </w:rPr>
  </w:style>
  <w:style w:type="paragraph" w:styleId="TeksKomentar">
    <w:name w:val="annotation text"/>
    <w:basedOn w:val="Normal"/>
    <w:link w:val="TeksKomentarKAR"/>
    <w:uiPriority w:val="99"/>
    <w:unhideWhenUsed/>
    <w:rsid w:val="009C3975"/>
  </w:style>
  <w:style w:type="character" w:customStyle="1" w:styleId="TeksKomentarKAR">
    <w:name w:val="Teks Komentar KAR"/>
    <w:basedOn w:val="FontParagrafDefault"/>
    <w:link w:val="TeksKomentar"/>
    <w:uiPriority w:val="99"/>
    <w:rsid w:val="009C3975"/>
  </w:style>
  <w:style w:type="paragraph" w:styleId="SubjekKomentar">
    <w:name w:val="annotation subject"/>
    <w:basedOn w:val="TeksKomentar"/>
    <w:next w:val="TeksKomentar"/>
    <w:link w:val="SubjekKomentarKAR"/>
    <w:uiPriority w:val="99"/>
    <w:semiHidden/>
    <w:unhideWhenUsed/>
    <w:rsid w:val="009C3975"/>
    <w:rPr>
      <w:b/>
      <w:bCs/>
    </w:rPr>
  </w:style>
  <w:style w:type="character" w:customStyle="1" w:styleId="SubjekKomentarKAR">
    <w:name w:val="Subjek Komentar KAR"/>
    <w:basedOn w:val="TeksKomentarKAR"/>
    <w:link w:val="SubjekKomentar"/>
    <w:uiPriority w:val="99"/>
    <w:semiHidden/>
    <w:rsid w:val="009C3975"/>
    <w:rPr>
      <w:b/>
      <w:bCs/>
    </w:rPr>
  </w:style>
  <w:style w:type="paragraph" w:customStyle="1" w:styleId="EndNoteBibliographyTitle">
    <w:name w:val="EndNote Bibliography Title"/>
    <w:basedOn w:val="Normal"/>
    <w:link w:val="EndNoteBibliographyTitleChar"/>
    <w:rsid w:val="008150ED"/>
    <w:pPr>
      <w:jc w:val="center"/>
    </w:pPr>
    <w:rPr>
      <w:noProof/>
    </w:rPr>
  </w:style>
  <w:style w:type="character" w:customStyle="1" w:styleId="EndNoteBibliographyTitleChar">
    <w:name w:val="EndNote Bibliography Title Char"/>
    <w:basedOn w:val="FontParagrafDefault"/>
    <w:link w:val="EndNoteBibliographyTitle"/>
    <w:rsid w:val="008150ED"/>
    <w:rPr>
      <w:noProof/>
    </w:rPr>
  </w:style>
  <w:style w:type="character" w:customStyle="1" w:styleId="UnresolvedMention2">
    <w:name w:val="Unresolved Mention2"/>
    <w:basedOn w:val="FontParagrafDefault"/>
    <w:uiPriority w:val="99"/>
    <w:semiHidden/>
    <w:unhideWhenUsed/>
    <w:rsid w:val="008150ED"/>
    <w:rPr>
      <w:color w:val="605E5C"/>
      <w:shd w:val="clear" w:color="auto" w:fill="E1DFDD"/>
    </w:rPr>
  </w:style>
  <w:style w:type="paragraph" w:customStyle="1" w:styleId="StyleTitle">
    <w:name w:val="Style Title"/>
    <w:basedOn w:val="Judul"/>
    <w:rsid w:val="001647F4"/>
    <w:pPr>
      <w:suppressAutoHyphens/>
    </w:pPr>
    <w:rPr>
      <w:rFonts w:cs="Arial"/>
      <w:kern w:val="2"/>
      <w:sz w:val="24"/>
      <w:szCs w:val="32"/>
      <w:lang w:eastAsia="ar-SA"/>
    </w:rPr>
  </w:style>
  <w:style w:type="paragraph" w:customStyle="1" w:styleId="regular">
    <w:name w:val="regular"/>
    <w:basedOn w:val="Normal"/>
    <w:qFormat/>
    <w:rsid w:val="007A0A86"/>
    <w:pPr>
      <w:autoSpaceDE w:val="0"/>
      <w:autoSpaceDN w:val="0"/>
      <w:adjustRightInd w:val="0"/>
      <w:spacing w:line="276" w:lineRule="auto"/>
      <w:ind w:firstLine="720"/>
      <w:jc w:val="both"/>
    </w:pPr>
    <w:rPr>
      <w:rFonts w:ascii="Garamond" w:hAnsi="Garamond" w:cs="Arial"/>
      <w:lang w:val="id-ID" w:eastAsia="id-ID"/>
    </w:rPr>
  </w:style>
  <w:style w:type="paragraph" w:customStyle="1" w:styleId="firstparagrah">
    <w:name w:val="first paragrah"/>
    <w:basedOn w:val="Normal"/>
    <w:qFormat/>
    <w:rsid w:val="000D1377"/>
    <w:pPr>
      <w:tabs>
        <w:tab w:val="left" w:pos="142"/>
        <w:tab w:val="left" w:pos="284"/>
      </w:tabs>
      <w:spacing w:line="276" w:lineRule="auto"/>
      <w:jc w:val="both"/>
    </w:pPr>
    <w:rPr>
      <w:rFonts w:ascii="Garamond" w:hAnsi="Garamond" w:cs="Arial"/>
      <w:lang w:val="id-ID" w:eastAsia="id-ID"/>
    </w:rPr>
  </w:style>
  <w:style w:type="character" w:customStyle="1" w:styleId="DaftarParagrafKAR">
    <w:name w:val="Daftar Paragraf KAR"/>
    <w:link w:val="DaftarParagraf"/>
    <w:uiPriority w:val="34"/>
    <w:locked/>
    <w:rsid w:val="000D1377"/>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51236642">
      <w:bodyDiv w:val="1"/>
      <w:marLeft w:val="0"/>
      <w:marRight w:val="0"/>
      <w:marTop w:val="0"/>
      <w:marBottom w:val="0"/>
      <w:divBdr>
        <w:top w:val="none" w:sz="0" w:space="0" w:color="auto"/>
        <w:left w:val="none" w:sz="0" w:space="0" w:color="auto"/>
        <w:bottom w:val="none" w:sz="0" w:space="0" w:color="auto"/>
        <w:right w:val="none" w:sz="0" w:space="0" w:color="auto"/>
      </w:divBdr>
    </w:div>
    <w:div w:id="59822104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331098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177082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877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7632B388E4826AA91965BAFD092B1"/>
        <w:category>
          <w:name w:val="General"/>
          <w:gallery w:val="placeholder"/>
        </w:category>
        <w:types>
          <w:type w:val="bbPlcHdr"/>
        </w:types>
        <w:behaviors>
          <w:behavior w:val="content"/>
        </w:behaviors>
        <w:guid w:val="{2C1BD763-4725-4296-95EB-2E537DEA3D71}"/>
      </w:docPartPr>
      <w:docPartBody>
        <w:p w:rsidR="00EE3CBC" w:rsidRDefault="003F41CE" w:rsidP="003F41CE">
          <w:pPr>
            <w:pStyle w:val="B867632B388E4826AA91965BAFD092B1"/>
          </w:pPr>
          <w:r w:rsidRPr="00004F2D">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1CE"/>
    <w:rsid w:val="000E19D2"/>
    <w:rsid w:val="002D62BA"/>
    <w:rsid w:val="003F41CE"/>
    <w:rsid w:val="00AC17F1"/>
    <w:rsid w:val="00EE3CBC"/>
    <w:rsid w:val="00FC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F41CE"/>
    <w:rPr>
      <w:color w:val="666666"/>
    </w:rPr>
  </w:style>
  <w:style w:type="paragraph" w:customStyle="1" w:styleId="B867632B388E4826AA91965BAFD092B1">
    <w:name w:val="B867632B388E4826AA91965BAFD092B1"/>
    <w:rsid w:val="003F4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D456-78B0-4E79-9C31-E181DC03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34544</Words>
  <Characters>196906</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International Journal of Public Health Science (IJPHS)</vt:lpstr>
    </vt:vector>
  </TitlesOfParts>
  <Company>IAES | Institute of Advanced Engineering and Science</Company>
  <LinksUpToDate>false</LinksUpToDate>
  <CharactersWithSpaces>230989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Public Health Science (IJPHS)</dc:title>
  <dc:creator>IJPHS</dc:creator>
  <cp:keywords>adolescent health; behavioral medicine; biostatistics; chronic diseases; environmental health; epidemiology; evaluation &amp; intervention; family health; gerontology, child health; health economics; health promotion; health services research; infectious diseases; nutrition occupational health; public health policy &amp; management; rural health;</cp:keywords>
  <dc:description>IJPHS Template and Guide of Authors</dc:description>
  <cp:lastModifiedBy>Erwanda Hadinata</cp:lastModifiedBy>
  <cp:revision>2</cp:revision>
  <cp:lastPrinted>2023-01-21T10:10:00Z</cp:lastPrinted>
  <dcterms:created xsi:type="dcterms:W3CDTF">2025-04-28T19:13:00Z</dcterms:created>
  <dcterms:modified xsi:type="dcterms:W3CDTF">2025-04-28T19:13:00Z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79bd9cbc-7b38-3197-95ae-47c35ace4e82</vt:lpwstr>
  </property>
  <property fmtid="{D5CDD505-2E9C-101B-9397-08002B2CF9AE}" pid="25" name="GrammarlyDocumentId">
    <vt:lpwstr>1290926790c6455988cab51ab1077d1dd6bea37f424571f965797b1bdd5c9736</vt:lpwstr>
  </property>
</Properties>
</file>